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4996A" w14:textId="77777777" w:rsidR="00FE563F" w:rsidRDefault="00FE563F" w:rsidP="00FE563F">
      <w:pPr>
        <w:widowControl/>
        <w:autoSpaceDE/>
        <w:autoSpaceDN/>
        <w:spacing w:after="160" w:line="259" w:lineRule="auto"/>
        <w:rPr>
          <w:rFonts w:ascii="Trebuchet MS"/>
          <w:b/>
          <w:sz w:val="15"/>
        </w:rPr>
      </w:pPr>
    </w:p>
    <w:tbl>
      <w:tblPr>
        <w:tblStyle w:val="TableNormal"/>
        <w:tblW w:w="1049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102"/>
        <w:gridCol w:w="7799"/>
      </w:tblGrid>
      <w:tr w:rsidR="00FE563F" w:rsidRPr="004955DB" w14:paraId="76031CF3" w14:textId="77777777" w:rsidTr="00222416">
        <w:trPr>
          <w:trHeight w:val="515"/>
        </w:trPr>
        <w:tc>
          <w:tcPr>
            <w:tcW w:w="10492" w:type="dxa"/>
            <w:gridSpan w:val="3"/>
          </w:tcPr>
          <w:p w14:paraId="471E71DE" w14:textId="77777777" w:rsidR="00FE563F" w:rsidRPr="004955DB" w:rsidRDefault="00FE563F" w:rsidP="009606A6">
            <w:pPr>
              <w:pStyle w:val="TableParagraph"/>
              <w:spacing w:before="120"/>
              <w:ind w:left="4054" w:right="4051"/>
              <w:jc w:val="center"/>
              <w:rPr>
                <w:rFonts w:ascii="Arial" w:hAnsi="Arial" w:cs="Arial"/>
                <w:b/>
                <w:sz w:val="24"/>
                <w:lang w:val="fr-FR"/>
              </w:rPr>
            </w:pPr>
            <w:r w:rsidRPr="004955DB">
              <w:rPr>
                <w:rFonts w:ascii="Arial" w:hAnsi="Arial" w:cs="Arial"/>
                <w:b/>
                <w:sz w:val="24"/>
                <w:lang w:val="fr-FR"/>
              </w:rPr>
              <w:t>FICHE</w:t>
            </w:r>
            <w:r w:rsidRPr="004955DB">
              <w:rPr>
                <w:rFonts w:ascii="Arial" w:hAnsi="Arial" w:cs="Arial"/>
                <w:b/>
                <w:spacing w:val="-1"/>
                <w:sz w:val="24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z w:val="24"/>
                <w:lang w:val="fr-FR"/>
              </w:rPr>
              <w:t>DE POSTE</w:t>
            </w:r>
          </w:p>
        </w:tc>
      </w:tr>
      <w:tr w:rsidR="00E34EC9" w:rsidRPr="004955DB" w14:paraId="36FB89B1" w14:textId="77777777" w:rsidTr="00264A59">
        <w:trPr>
          <w:trHeight w:val="1565"/>
        </w:trPr>
        <w:tc>
          <w:tcPr>
            <w:tcW w:w="591" w:type="dxa"/>
            <w:textDirection w:val="btLr"/>
            <w:vAlign w:val="center"/>
          </w:tcPr>
          <w:p w14:paraId="2753BC3B" w14:textId="77777777" w:rsidR="00E34EC9" w:rsidRPr="004955DB" w:rsidRDefault="00E34EC9" w:rsidP="00264A59">
            <w:pPr>
              <w:pStyle w:val="TableParagraph"/>
              <w:spacing w:line="244" w:lineRule="auto"/>
              <w:ind w:left="366" w:right="119" w:hanging="231"/>
              <w:jc w:val="center"/>
              <w:rPr>
                <w:rFonts w:ascii="Arial" w:hAnsi="Arial" w:cs="Arial"/>
                <w:b/>
                <w:sz w:val="16"/>
                <w:lang w:val="fr-FR"/>
              </w:rPr>
            </w:pPr>
            <w:r w:rsidRPr="004955DB">
              <w:rPr>
                <w:rFonts w:ascii="Arial" w:hAnsi="Arial" w:cs="Arial"/>
                <w:b/>
                <w:sz w:val="16"/>
                <w:lang w:val="fr-FR"/>
              </w:rPr>
              <w:t>IDENTIFICATION</w:t>
            </w:r>
            <w:r w:rsidRPr="004955DB">
              <w:rPr>
                <w:rFonts w:ascii="Arial" w:hAnsi="Arial" w:cs="Arial"/>
                <w:b/>
                <w:spacing w:val="-42"/>
                <w:sz w:val="16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z w:val="16"/>
                <w:lang w:val="fr-FR"/>
              </w:rPr>
              <w:t>DU POSTE</w:t>
            </w:r>
          </w:p>
        </w:tc>
        <w:tc>
          <w:tcPr>
            <w:tcW w:w="2102" w:type="dxa"/>
            <w:vAlign w:val="center"/>
          </w:tcPr>
          <w:p w14:paraId="5268F5C7" w14:textId="6A91E92E" w:rsidR="00E34EC9" w:rsidRPr="00264A59" w:rsidRDefault="00264A59" w:rsidP="00EC6A92">
            <w:pPr>
              <w:pStyle w:val="TableParagraph"/>
              <w:spacing w:before="138"/>
              <w:ind w:left="616" w:right="334" w:hanging="257"/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z w:val="20"/>
                <w:szCs w:val="20"/>
                <w:lang w:val="fr-FR"/>
              </w:rPr>
              <w:t>Intitulé du poste</w:t>
            </w:r>
          </w:p>
        </w:tc>
        <w:tc>
          <w:tcPr>
            <w:tcW w:w="7799" w:type="dxa"/>
            <w:vAlign w:val="center"/>
          </w:tcPr>
          <w:p w14:paraId="4EF8B9C5" w14:textId="538E9899" w:rsidR="00E34EC9" w:rsidRPr="004955DB" w:rsidRDefault="00E34EC9" w:rsidP="00EC6A92">
            <w:pPr>
              <w:ind w:left="169"/>
              <w:rPr>
                <w:rFonts w:ascii="Arial" w:hAnsi="Arial" w:cs="Arial"/>
                <w:lang w:val="fr-FR"/>
              </w:rPr>
            </w:pPr>
            <w:r w:rsidRPr="004955DB">
              <w:rPr>
                <w:rFonts w:ascii="Arial" w:hAnsi="Arial" w:cs="Arial"/>
                <w:sz w:val="24"/>
                <w:szCs w:val="24"/>
                <w:lang w:val="fr-FR"/>
              </w:rPr>
              <w:t xml:space="preserve">Référent </w:t>
            </w:r>
            <w:r w:rsidR="0040441E" w:rsidRPr="004955DB">
              <w:rPr>
                <w:rFonts w:ascii="Arial" w:hAnsi="Arial" w:cs="Arial"/>
                <w:sz w:val="24"/>
                <w:szCs w:val="24"/>
                <w:lang w:val="fr-FR"/>
              </w:rPr>
              <w:t xml:space="preserve">départemental « Compétences psychosociales » </w:t>
            </w:r>
            <w:r w:rsidR="004955DB" w:rsidRPr="004955DB">
              <w:rPr>
                <w:rFonts w:ascii="Arial" w:hAnsi="Arial" w:cs="Arial"/>
                <w:sz w:val="24"/>
                <w:szCs w:val="24"/>
                <w:lang w:val="fr-FR"/>
              </w:rPr>
              <w:t>(CPS)</w:t>
            </w:r>
          </w:p>
        </w:tc>
      </w:tr>
      <w:tr w:rsidR="00FE563F" w:rsidRPr="004955DB" w14:paraId="3269D143" w14:textId="77777777" w:rsidTr="00264A59">
        <w:trPr>
          <w:trHeight w:val="760"/>
        </w:trPr>
        <w:tc>
          <w:tcPr>
            <w:tcW w:w="591" w:type="dxa"/>
            <w:vMerge w:val="restart"/>
            <w:textDirection w:val="btLr"/>
            <w:vAlign w:val="center"/>
          </w:tcPr>
          <w:p w14:paraId="7ADF88AB" w14:textId="77777777" w:rsidR="00FE563F" w:rsidRPr="004955DB" w:rsidRDefault="00FE563F" w:rsidP="00264A59">
            <w:pPr>
              <w:pStyle w:val="TableParagraph"/>
              <w:ind w:left="4133" w:right="4136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4955DB">
              <w:rPr>
                <w:rFonts w:ascii="Arial" w:hAnsi="Arial" w:cs="Arial"/>
                <w:b/>
                <w:sz w:val="18"/>
                <w:lang w:val="fr-FR"/>
              </w:rPr>
              <w:t>PROFIL</w:t>
            </w:r>
            <w:r w:rsidRPr="004955DB">
              <w:rPr>
                <w:rFonts w:ascii="Arial" w:hAnsi="Arial" w:cs="Arial"/>
                <w:b/>
                <w:spacing w:val="-1"/>
                <w:sz w:val="18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z w:val="18"/>
                <w:lang w:val="fr-FR"/>
              </w:rPr>
              <w:t>DU</w:t>
            </w:r>
            <w:r w:rsidRPr="004955DB">
              <w:rPr>
                <w:rFonts w:ascii="Arial" w:hAnsi="Arial" w:cs="Arial"/>
                <w:b/>
                <w:spacing w:val="-1"/>
                <w:sz w:val="18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z w:val="18"/>
                <w:lang w:val="fr-FR"/>
              </w:rPr>
              <w:t>POSTE</w:t>
            </w:r>
          </w:p>
        </w:tc>
        <w:tc>
          <w:tcPr>
            <w:tcW w:w="2102" w:type="dxa"/>
            <w:vAlign w:val="center"/>
          </w:tcPr>
          <w:p w14:paraId="2BEDD3EF" w14:textId="66A62F95" w:rsidR="00FE563F" w:rsidRPr="00264A59" w:rsidRDefault="00264A59" w:rsidP="00353FD1">
            <w:pPr>
              <w:pStyle w:val="TableParagraph"/>
              <w:spacing w:before="138"/>
              <w:ind w:left="616" w:right="334" w:hanging="257"/>
              <w:jc w:val="center"/>
              <w:rPr>
                <w:rFonts w:ascii="Arial" w:hAnsi="Arial" w:cs="Arial"/>
                <w:b/>
                <w:smallCaps/>
                <w:sz w:val="1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z w:val="18"/>
                <w:lang w:val="fr-FR"/>
              </w:rPr>
              <w:t>Cadre général</w:t>
            </w:r>
          </w:p>
        </w:tc>
        <w:tc>
          <w:tcPr>
            <w:tcW w:w="7799" w:type="dxa"/>
          </w:tcPr>
          <w:p w14:paraId="335D6FA9" w14:textId="37ED60BB" w:rsidR="00EC6A92" w:rsidRPr="004955DB" w:rsidRDefault="00EC6A92" w:rsidP="00387C32">
            <w:pPr>
              <w:ind w:left="311"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>Placé sous l’autorité de l’</w:t>
            </w:r>
            <w:r w:rsidR="00E34EC9" w:rsidRPr="004955DB">
              <w:rPr>
                <w:rFonts w:ascii="Arial" w:hAnsi="Arial" w:cs="Arial"/>
                <w:sz w:val="20"/>
                <w:szCs w:val="20"/>
                <w:lang w:val="fr-FR"/>
              </w:rPr>
              <w:t>I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>A-DASEN,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C978CB" w:rsidRPr="004955DB">
              <w:rPr>
                <w:rFonts w:ascii="Arial" w:hAnsi="Arial" w:cs="Arial"/>
                <w:sz w:val="20"/>
                <w:szCs w:val="20"/>
                <w:lang w:val="fr-FR"/>
              </w:rPr>
              <w:t>le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référent 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départemental « Compétences psychosociales » 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travaillera, en </w:t>
            </w:r>
            <w:r w:rsidR="00A04D76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lien avec 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>les IEN de circonscription et les directeurs d’école à l’enseignement des compétences psychosociales de la grande section au CM</w:t>
            </w:r>
            <w:r w:rsidR="000B20A5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="0040441E" w:rsidRPr="004955DB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727575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Il animera </w:t>
            </w:r>
            <w:r w:rsidR="000B20A5">
              <w:rPr>
                <w:rFonts w:ascii="Arial" w:hAnsi="Arial" w:cs="Arial"/>
                <w:sz w:val="20"/>
                <w:szCs w:val="20"/>
                <w:lang w:val="fr-FR"/>
              </w:rPr>
              <w:t>le réseau</w:t>
            </w:r>
            <w:r w:rsidR="00727575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des </w:t>
            </w:r>
            <w:r w:rsidR="000B20A5">
              <w:rPr>
                <w:rFonts w:ascii="Arial" w:hAnsi="Arial" w:cs="Arial"/>
                <w:sz w:val="20"/>
                <w:szCs w:val="20"/>
                <w:lang w:val="fr-FR"/>
              </w:rPr>
              <w:t>animateurs</w:t>
            </w:r>
            <w:r w:rsidR="00727575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CPS.</w:t>
            </w:r>
          </w:p>
          <w:p w14:paraId="3609AB44" w14:textId="5E8570FE" w:rsidR="00EC6A92" w:rsidRPr="004955DB" w:rsidRDefault="0040441E" w:rsidP="00387C32">
            <w:pPr>
              <w:pStyle w:val="NormalWeb"/>
              <w:spacing w:after="0" w:line="240" w:lineRule="auto"/>
              <w:ind w:left="311"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>Le poste de référent départemental « Compétences psychosociales »</w:t>
            </w:r>
            <w:r w:rsidR="00A04D76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est structuré en </w:t>
            </w:r>
            <w:r w:rsidR="00727575" w:rsidRPr="004955DB">
              <w:rPr>
                <w:rFonts w:ascii="Arial" w:hAnsi="Arial" w:cs="Arial"/>
                <w:sz w:val="20"/>
                <w:szCs w:val="20"/>
                <w:lang w:val="fr-FR"/>
              </w:rPr>
              <w:t>trois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missions principales</w:t>
            </w:r>
            <w:r w:rsidR="00EC6A92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 : </w:t>
            </w:r>
          </w:p>
          <w:p w14:paraId="2BFC1863" w14:textId="46F3F350" w:rsidR="00EC6A92" w:rsidRPr="004955DB" w:rsidRDefault="00751725" w:rsidP="00EC6A92">
            <w:pPr>
              <w:pStyle w:val="NormalWeb"/>
              <w:numPr>
                <w:ilvl w:val="0"/>
                <w:numId w:val="5"/>
              </w:numPr>
              <w:spacing w:after="0" w:line="240" w:lineRule="auto"/>
              <w:ind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0441E">
              <w:rPr>
                <w:rFonts w:ascii="Arial" w:hAnsi="Arial" w:cs="Arial"/>
                <w:sz w:val="20"/>
                <w:szCs w:val="20"/>
                <w:lang/>
              </w:rPr>
              <w:t>Pilotage d</w:t>
            </w:r>
            <w:r w:rsidR="00727575" w:rsidRPr="004955DB">
              <w:rPr>
                <w:rFonts w:ascii="Arial" w:hAnsi="Arial" w:cs="Arial"/>
                <w:sz w:val="20"/>
                <w:szCs w:val="20"/>
                <w:lang w:val="fr-FR"/>
              </w:rPr>
              <w:t>e la politique de développement et de formation</w:t>
            </w:r>
            <w:r w:rsidRPr="0040441E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727575" w:rsidRPr="004955DB">
              <w:rPr>
                <w:rFonts w:ascii="Arial" w:hAnsi="Arial" w:cs="Arial"/>
                <w:sz w:val="20"/>
                <w:szCs w:val="20"/>
                <w:lang w:val="fr-FR"/>
              </w:rPr>
              <w:t>aux CPS dans le premier degré</w:t>
            </w:r>
            <w:r w:rsidRPr="0040441E">
              <w:rPr>
                <w:rFonts w:ascii="Arial" w:hAnsi="Arial" w:cs="Arial"/>
                <w:sz w:val="20"/>
                <w:szCs w:val="20"/>
                <w:lang/>
              </w:rPr>
              <w:t>,</w:t>
            </w:r>
          </w:p>
          <w:p w14:paraId="09CA1D03" w14:textId="4E81F3F0" w:rsidR="00727575" w:rsidRPr="004955DB" w:rsidRDefault="00727575" w:rsidP="00EC6A92">
            <w:pPr>
              <w:pStyle w:val="NormalWeb"/>
              <w:numPr>
                <w:ilvl w:val="0"/>
                <w:numId w:val="5"/>
              </w:numPr>
              <w:spacing w:after="0" w:line="240" w:lineRule="auto"/>
              <w:ind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Animation et coordination du réseau des </w:t>
            </w:r>
            <w:r w:rsidR="000B20A5">
              <w:rPr>
                <w:rFonts w:ascii="Arial" w:hAnsi="Arial" w:cs="Arial"/>
                <w:sz w:val="20"/>
                <w:szCs w:val="20"/>
                <w:lang w:val="fr-FR"/>
              </w:rPr>
              <w:t>animateurs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CPS </w:t>
            </w:r>
          </w:p>
          <w:p w14:paraId="09152EBF" w14:textId="7A538ED2" w:rsidR="00751725" w:rsidRPr="004955DB" w:rsidRDefault="00727575" w:rsidP="00EC6A92">
            <w:pPr>
              <w:pStyle w:val="NormalWeb"/>
              <w:numPr>
                <w:ilvl w:val="0"/>
                <w:numId w:val="5"/>
              </w:numPr>
              <w:spacing w:after="0" w:line="240" w:lineRule="auto"/>
              <w:ind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55DB">
              <w:rPr>
                <w:rFonts w:ascii="Arial" w:hAnsi="Arial" w:cs="Arial"/>
                <w:sz w:val="20"/>
                <w:szCs w:val="20"/>
                <w:lang/>
              </w:rPr>
              <w:t>Évaluation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de la mise en œuvre et des résultats dans les écoles</w:t>
            </w:r>
          </w:p>
          <w:p w14:paraId="68F12E27" w14:textId="46F8D293" w:rsidR="00EC6A92" w:rsidRPr="004955DB" w:rsidRDefault="00EC6A92" w:rsidP="00387C32">
            <w:pPr>
              <w:pStyle w:val="NormalWeb"/>
              <w:spacing w:after="0" w:line="240" w:lineRule="auto"/>
              <w:ind w:left="169" w:right="260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>Son</w:t>
            </w:r>
            <w:r w:rsidR="008E0880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>bureau est implanté à Cayenne cependant</w:t>
            </w:r>
            <w:r w:rsidR="001A6846" w:rsidRPr="004955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sz w:val="20"/>
                <w:szCs w:val="20"/>
                <w:lang w:val="fr-FR"/>
              </w:rPr>
              <w:t>ses compétences s’exercent sur l’ensemble de l’académie.</w:t>
            </w:r>
          </w:p>
          <w:p w14:paraId="5DE84347" w14:textId="1735D0BF" w:rsidR="00FE563F" w:rsidRPr="004955DB" w:rsidRDefault="00FE563F" w:rsidP="00EC6A92">
            <w:pPr>
              <w:pStyle w:val="TableParagraph"/>
              <w:spacing w:line="190" w:lineRule="exact"/>
              <w:ind w:right="154"/>
              <w:jc w:val="both"/>
              <w:rPr>
                <w:rFonts w:ascii="Arial" w:hAnsi="Arial" w:cs="Arial"/>
                <w:sz w:val="16"/>
                <w:lang w:val="fr-FR"/>
              </w:rPr>
            </w:pPr>
          </w:p>
        </w:tc>
      </w:tr>
      <w:tr w:rsidR="00222416" w:rsidRPr="004955DB" w14:paraId="2FA1E410" w14:textId="77777777" w:rsidTr="00264A59">
        <w:trPr>
          <w:trHeight w:val="575"/>
        </w:trPr>
        <w:tc>
          <w:tcPr>
            <w:tcW w:w="591" w:type="dxa"/>
            <w:vMerge/>
            <w:tcBorders>
              <w:top w:val="nil"/>
            </w:tcBorders>
            <w:textDirection w:val="btLr"/>
            <w:vAlign w:val="center"/>
          </w:tcPr>
          <w:p w14:paraId="208DC258" w14:textId="77777777" w:rsidR="00222416" w:rsidRPr="004955DB" w:rsidRDefault="00222416" w:rsidP="00264A59">
            <w:pPr>
              <w:jc w:val="center"/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2102" w:type="dxa"/>
            <w:vAlign w:val="center"/>
          </w:tcPr>
          <w:p w14:paraId="4578D9A4" w14:textId="0C7E0822" w:rsidR="00222416" w:rsidRPr="00264A59" w:rsidRDefault="00222416" w:rsidP="00353FD1">
            <w:pPr>
              <w:pStyle w:val="TableParagraph"/>
              <w:spacing w:before="138"/>
              <w:ind w:left="616" w:right="334" w:hanging="257"/>
              <w:jc w:val="center"/>
              <w:rPr>
                <w:rFonts w:ascii="Arial" w:hAnsi="Arial" w:cs="Arial"/>
                <w:b/>
                <w:smallCaps/>
                <w:sz w:val="1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z w:val="18"/>
                <w:lang w:val="fr-FR"/>
              </w:rPr>
              <w:t>M</w:t>
            </w:r>
            <w:r w:rsidR="00264A59" w:rsidRPr="00264A59">
              <w:rPr>
                <w:rFonts w:ascii="Arial" w:hAnsi="Arial" w:cs="Arial"/>
                <w:b/>
                <w:smallCaps/>
                <w:sz w:val="18"/>
                <w:lang w:val="fr-FR"/>
              </w:rPr>
              <w:t>issions</w:t>
            </w:r>
          </w:p>
        </w:tc>
        <w:tc>
          <w:tcPr>
            <w:tcW w:w="7799" w:type="dxa"/>
          </w:tcPr>
          <w:p w14:paraId="61552E42" w14:textId="77777777" w:rsidR="000B20A5" w:rsidRPr="0040441E" w:rsidRDefault="000B20A5" w:rsidP="000B20A5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Propose et pilote la stratégie 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départementale</w:t>
            </w: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pour développer les CPS 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dans le 1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degré</w:t>
            </w:r>
          </w:p>
          <w:p w14:paraId="458E9371" w14:textId="0488570D" w:rsidR="00751725" w:rsidRPr="00D10B4C" w:rsidRDefault="00751725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Conçoit, </w:t>
            </w:r>
            <w:r w:rsidR="000B20A5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pilote la mise en</w:t>
            </w: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œuvre, évalue et valorise des 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actions de formation et d’enseignement des compétences psychosociales dans le 1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degré</w:t>
            </w:r>
          </w:p>
          <w:p w14:paraId="603437B0" w14:textId="75A9CFB2" w:rsidR="00D10B4C" w:rsidRDefault="00D10B4C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>Assure une mission d’expertise, de veille et de ressource sur le champ des CPS</w:t>
            </w:r>
          </w:p>
          <w:p w14:paraId="0E91D23C" w14:textId="3DCE3E41" w:rsidR="000B20A5" w:rsidRPr="000B20A5" w:rsidRDefault="000B20A5" w:rsidP="000B20A5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Anime et coordonne un collectif de travail 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départemental</w:t>
            </w: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, accompagne la montée en compétence individuelle et collective sur 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les CPS</w:t>
            </w: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(IEN et directrices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et direct</w:t>
            </w:r>
            <w:r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eurs d’école)</w:t>
            </w:r>
          </w:p>
          <w:p w14:paraId="09BB415A" w14:textId="15682698" w:rsidR="00751725" w:rsidRPr="0040441E" w:rsidRDefault="00751725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Assure un appui méthodologique aux acteurs internes </w:t>
            </w:r>
            <w:r w:rsid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(référents CPS, direct</w:t>
            </w:r>
            <w:r w:rsidR="00D10B4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rices</w:t>
            </w:r>
            <w:r w:rsidR="000B20A5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et directeurs</w:t>
            </w:r>
            <w:r w:rsidR="00D10B4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d’école)</w:t>
            </w:r>
          </w:p>
          <w:p w14:paraId="395ADB6A" w14:textId="1F651E23" w:rsidR="00751725" w:rsidRPr="0040441E" w:rsidRDefault="000B20A5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Forme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es 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animateurs CPS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et 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es formateurs (CPD et CPC)</w:t>
            </w:r>
            <w:r w:rsidR="00751725"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</w:t>
            </w:r>
          </w:p>
          <w:p w14:paraId="1BAFF1C3" w14:textId="23D17A32" w:rsidR="00D10B4C" w:rsidRPr="000B20A5" w:rsidRDefault="00751725" w:rsidP="000B20A5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Accompagne les </w:t>
            </w:r>
            <w:r w:rsidR="00727575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bassins</w:t>
            </w: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dans la construction et le déploiement des projets </w:t>
            </w:r>
            <w:r w:rsidR="004955DB" w:rsidRP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locaux sur les CPS</w:t>
            </w: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, </w:t>
            </w:r>
          </w:p>
          <w:p w14:paraId="54F19993" w14:textId="6263AA73" w:rsidR="00751725" w:rsidRPr="0040441E" w:rsidRDefault="00751725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Assure </w:t>
            </w:r>
            <w:r w:rsid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la continuité du parcours</w:t>
            </w:r>
            <w:r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</w:t>
            </w:r>
            <w:r w:rsidR="004955DB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dans le second degré</w:t>
            </w:r>
            <w:r w:rsidR="00D10B4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, en lien </w:t>
            </w:r>
            <w:r w:rsidR="00D10B4C" w:rsidRPr="0040441E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avec </w:t>
            </w:r>
            <w:r w:rsidR="00D10B4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les responsables Harcèlement, Lutte contre les violences en milieu scolaire et Prévention des grossesses,</w:t>
            </w:r>
          </w:p>
          <w:p w14:paraId="4842396D" w14:textId="72A26220" w:rsidR="00222416" w:rsidRPr="004955DB" w:rsidRDefault="00D10B4C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Évalue et rend compte des résultats de la politique de développement des CPS</w:t>
            </w:r>
          </w:p>
        </w:tc>
      </w:tr>
      <w:tr w:rsidR="00222416" w:rsidRPr="004955DB" w14:paraId="3FA61A45" w14:textId="77777777" w:rsidTr="00264A59">
        <w:trPr>
          <w:trHeight w:val="1120"/>
        </w:trPr>
        <w:tc>
          <w:tcPr>
            <w:tcW w:w="591" w:type="dxa"/>
            <w:vMerge/>
            <w:tcBorders>
              <w:top w:val="nil"/>
            </w:tcBorders>
            <w:textDirection w:val="btLr"/>
            <w:vAlign w:val="center"/>
          </w:tcPr>
          <w:p w14:paraId="5D66AE1F" w14:textId="77777777" w:rsidR="00222416" w:rsidRPr="004955DB" w:rsidRDefault="00222416" w:rsidP="00264A59">
            <w:pPr>
              <w:jc w:val="center"/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2102" w:type="dxa"/>
            <w:vAlign w:val="center"/>
          </w:tcPr>
          <w:p w14:paraId="4B3B5918" w14:textId="0C0C6412" w:rsidR="00222416" w:rsidRPr="00264A59" w:rsidRDefault="00264A59" w:rsidP="00353FD1">
            <w:pPr>
              <w:pStyle w:val="TableParagraph"/>
              <w:spacing w:before="138"/>
              <w:ind w:left="616" w:right="334" w:hanging="257"/>
              <w:jc w:val="center"/>
              <w:rPr>
                <w:rFonts w:ascii="Arial" w:hAnsi="Arial" w:cs="Arial"/>
                <w:b/>
                <w:smallCaps/>
                <w:sz w:val="1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z w:val="18"/>
                <w:lang w:val="fr-FR"/>
              </w:rPr>
              <w:t>Compétences</w:t>
            </w:r>
          </w:p>
        </w:tc>
        <w:tc>
          <w:tcPr>
            <w:tcW w:w="7799" w:type="dxa"/>
          </w:tcPr>
          <w:p w14:paraId="31B3C0BF" w14:textId="383BDBAE" w:rsidR="00222416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Être mobile et disponible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(les déplacements dans certaines communes du territoire nécessitant plusieurs jours d’absence de la résidence administrative et personnelle).</w:t>
            </w:r>
          </w:p>
          <w:p w14:paraId="1A8DBE48" w14:textId="358A50ED" w:rsidR="00387C32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Connaître l’organisation administrative et pédagogique de l’Académie,</w:t>
            </w:r>
          </w:p>
          <w:p w14:paraId="758BE204" w14:textId="77777777" w:rsidR="00D10B4C" w:rsidRPr="00D10B4C" w:rsidRDefault="00D10B4C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Maîtriser les compétences psychosociales et leur enseignement chez les enfants de 5 à 11 ans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 ;</w:t>
            </w:r>
          </w:p>
          <w:p w14:paraId="59C6D08F" w14:textId="75205C8F" w:rsidR="00222416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Connaître et s’adapter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aux différents contextes géographiques du territoire ;</w:t>
            </w:r>
          </w:p>
          <w:p w14:paraId="583FB2BF" w14:textId="6495609A" w:rsidR="00962F36" w:rsidRPr="00D10B4C" w:rsidRDefault="00962F3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Concevoir, conduire et évaluer des actions de formation en lien avec les domaines d’exercice ;</w:t>
            </w:r>
          </w:p>
          <w:p w14:paraId="3B3BD59E" w14:textId="783E8AB0" w:rsidR="00222416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C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ommuniquer de manière efficace avec l’ensemble des partenaires (Inspecteurs des 1er et 2nd degrés, Chefs d’établissement, services académiques, partenaires institutionnels …) ;</w:t>
            </w:r>
          </w:p>
          <w:p w14:paraId="017ED5CF" w14:textId="60116F5F" w:rsidR="00222416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Q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ualités relationnelles </w:t>
            </w:r>
            <w:r w:rsidR="00D10B4C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et managériales 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expertes ; </w:t>
            </w:r>
          </w:p>
          <w:p w14:paraId="79DD1DA5" w14:textId="7280B34A" w:rsidR="00222416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C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apacités d’analyse, de synthèse et de conseil </w:t>
            </w: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(analyser une situation complexe et identifier les leviers d’action)</w:t>
            </w:r>
            <w:r w:rsidR="00353FD1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;</w:t>
            </w:r>
          </w:p>
          <w:p w14:paraId="796CAC3B" w14:textId="09F7195A" w:rsidR="00222416" w:rsidRPr="00D10B4C" w:rsidRDefault="00387C32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R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igueur, </w:t>
            </w: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e</w:t>
            </w:r>
            <w:r w:rsidR="00222416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sprit d’équipe et d’organisation</w:t>
            </w: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 ;</w:t>
            </w:r>
          </w:p>
          <w:p w14:paraId="3FDDEBA6" w14:textId="4CF4515A" w:rsidR="00222416" w:rsidRPr="00D10B4C" w:rsidRDefault="0022241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714" w:hanging="357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Discrétion et confidentialité.</w:t>
            </w:r>
          </w:p>
        </w:tc>
      </w:tr>
      <w:tr w:rsidR="00222416" w:rsidRPr="004955DB" w14:paraId="164D7E04" w14:textId="77777777" w:rsidTr="00264A59">
        <w:trPr>
          <w:trHeight w:val="481"/>
        </w:trPr>
        <w:tc>
          <w:tcPr>
            <w:tcW w:w="591" w:type="dxa"/>
            <w:vMerge w:val="restart"/>
            <w:textDirection w:val="btLr"/>
            <w:vAlign w:val="center"/>
          </w:tcPr>
          <w:p w14:paraId="6189D048" w14:textId="77777777" w:rsidR="00222416" w:rsidRPr="004955DB" w:rsidRDefault="00222416" w:rsidP="00264A59">
            <w:pPr>
              <w:pStyle w:val="TableParagraph"/>
              <w:spacing w:before="1" w:line="244" w:lineRule="auto"/>
              <w:ind w:left="210" w:right="203" w:firstLine="211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4955DB">
              <w:rPr>
                <w:rFonts w:ascii="Arial" w:hAnsi="Arial" w:cs="Arial"/>
                <w:b/>
                <w:sz w:val="18"/>
                <w:lang w:val="fr-FR"/>
              </w:rPr>
              <w:t>CONTEXTE</w:t>
            </w:r>
            <w:r w:rsidRPr="004955DB">
              <w:rPr>
                <w:rFonts w:ascii="Arial" w:hAnsi="Arial" w:cs="Arial"/>
                <w:b/>
                <w:spacing w:val="1"/>
                <w:sz w:val="18"/>
                <w:lang w:val="fr-FR"/>
              </w:rPr>
              <w:t xml:space="preserve"> </w:t>
            </w:r>
            <w:r w:rsidRPr="004955DB">
              <w:rPr>
                <w:rFonts w:ascii="Arial" w:hAnsi="Arial" w:cs="Arial"/>
                <w:b/>
                <w:spacing w:val="-1"/>
                <w:sz w:val="18"/>
                <w:lang w:val="fr-FR"/>
              </w:rPr>
              <w:t>ADMINISTRATIF</w:t>
            </w:r>
          </w:p>
        </w:tc>
        <w:tc>
          <w:tcPr>
            <w:tcW w:w="2102" w:type="dxa"/>
            <w:vAlign w:val="center"/>
          </w:tcPr>
          <w:p w14:paraId="7F08545C" w14:textId="1CD9F60F" w:rsidR="00222416" w:rsidRPr="00264A59" w:rsidRDefault="00222416" w:rsidP="00353FD1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P</w:t>
            </w:r>
            <w:r w:rsidR="00264A59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ré</w:t>
            </w: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-</w:t>
            </w:r>
            <w:r w:rsidR="00264A59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requis</w:t>
            </w:r>
          </w:p>
          <w:p w14:paraId="7D995770" w14:textId="07F7AB08" w:rsidR="00222416" w:rsidRPr="00264A59" w:rsidRDefault="00222416" w:rsidP="00353FD1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z w:val="14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 xml:space="preserve">(Diplômes ou </w:t>
            </w: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lastRenderedPageBreak/>
              <w:t>expériences)</w:t>
            </w:r>
          </w:p>
        </w:tc>
        <w:tc>
          <w:tcPr>
            <w:tcW w:w="7799" w:type="dxa"/>
            <w:vAlign w:val="center"/>
          </w:tcPr>
          <w:p w14:paraId="121FE3CC" w14:textId="00A0BA28" w:rsidR="00222416" w:rsidRPr="00D10B4C" w:rsidRDefault="00387C32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lastRenderedPageBreak/>
              <w:t xml:space="preserve">Être </w:t>
            </w:r>
            <w:r w:rsidR="00751725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titulaire</w:t>
            </w:r>
            <w:r w:rsidR="00D10B4C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</w:t>
            </w:r>
            <w:r w:rsidR="00EA34A3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d’un titre de niveau 7 dans le domaine et</w:t>
            </w: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doté(e) de solides compétences </w:t>
            </w:r>
            <w:r w:rsidR="00751725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managériales, </w:t>
            </w: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numériques et organisationnelles.</w:t>
            </w:r>
          </w:p>
          <w:p w14:paraId="7C20BE53" w14:textId="36498F68" w:rsidR="00EB7A03" w:rsidRDefault="00EB7A03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Un titre ou une expérience de format</w:t>
            </w:r>
            <w:r w:rsidR="0066262E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eur</w:t>
            </w: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 serait apprécié.</w:t>
            </w:r>
          </w:p>
          <w:p w14:paraId="19EF8EFF" w14:textId="4E6B0EB9" w:rsidR="00353FD1" w:rsidRPr="00D10B4C" w:rsidRDefault="00353FD1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222416" w:rsidRPr="004955DB" w14:paraId="14AE030B" w14:textId="77777777" w:rsidTr="00264A59">
        <w:trPr>
          <w:trHeight w:val="303"/>
        </w:trPr>
        <w:tc>
          <w:tcPr>
            <w:tcW w:w="591" w:type="dxa"/>
            <w:vMerge/>
            <w:tcBorders>
              <w:top w:val="nil"/>
            </w:tcBorders>
            <w:textDirection w:val="btLr"/>
          </w:tcPr>
          <w:p w14:paraId="35E82DD4" w14:textId="77777777" w:rsidR="00222416" w:rsidRPr="004955DB" w:rsidRDefault="00222416" w:rsidP="00222416">
            <w:pPr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2102" w:type="dxa"/>
            <w:vAlign w:val="center"/>
          </w:tcPr>
          <w:p w14:paraId="6DBC7064" w14:textId="77777777" w:rsidR="00264A59" w:rsidRPr="00264A59" w:rsidRDefault="00222416" w:rsidP="00353FD1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N</w:t>
            </w:r>
            <w:r w:rsidR="00264A59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omination</w:t>
            </w:r>
            <w:r w:rsidR="00353FD1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/</w:t>
            </w:r>
          </w:p>
          <w:p w14:paraId="2732F7B5" w14:textId="13BA50DA" w:rsidR="00222416" w:rsidRPr="00264A59" w:rsidRDefault="00264A59" w:rsidP="00353FD1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z w:val="14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R</w:t>
            </w:r>
            <w:r w:rsidR="00353FD1"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émunération</w:t>
            </w:r>
          </w:p>
        </w:tc>
        <w:tc>
          <w:tcPr>
            <w:tcW w:w="7799" w:type="dxa"/>
          </w:tcPr>
          <w:p w14:paraId="42A1C897" w14:textId="5DA42FC7" w:rsidR="00D10B4C" w:rsidRDefault="00D10B4C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Poste</w:t>
            </w:r>
            <w:r w:rsidR="00264A5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de catégorie A</w:t>
            </w: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ouvert aux titulaires ou contractuels</w:t>
            </w:r>
          </w:p>
          <w:p w14:paraId="2908AF26" w14:textId="4D089A82" w:rsidR="004955DB" w:rsidRDefault="00C978CB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Affectation </w:t>
            </w:r>
            <w:r w:rsidR="001E2772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à l’année</w:t>
            </w:r>
            <w:r w:rsidR="008A600A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, à compter du 1</w:t>
            </w:r>
            <w:r w:rsidR="008A600A" w:rsidRPr="008A600A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="008A600A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juin</w:t>
            </w:r>
            <w:r w:rsidR="00353FD1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, </w:t>
            </w:r>
            <w:r w:rsidR="008A600A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renouvelable 2 fois, </w:t>
            </w:r>
            <w:r w:rsidR="00353FD1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avec une période d’essai de 2 mois</w:t>
            </w:r>
            <w:r w:rsidR="008A600A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. </w:t>
            </w:r>
          </w:p>
          <w:p w14:paraId="51685EF2" w14:textId="77777777" w:rsidR="00353FD1" w:rsidRPr="00D10B4C" w:rsidRDefault="00353FD1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  <w:p w14:paraId="69559E7D" w14:textId="1F82EF52" w:rsidR="00097321" w:rsidRPr="00D10B4C" w:rsidRDefault="00097321" w:rsidP="00353FD1">
            <w:pPr>
              <w:widowControl/>
              <w:autoSpaceDE/>
              <w:autoSpaceDN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</w:p>
        </w:tc>
      </w:tr>
      <w:tr w:rsidR="00222416" w:rsidRPr="004955DB" w14:paraId="0B71E967" w14:textId="77777777" w:rsidTr="00264A59">
        <w:trPr>
          <w:trHeight w:val="769"/>
        </w:trPr>
        <w:tc>
          <w:tcPr>
            <w:tcW w:w="591" w:type="dxa"/>
            <w:vMerge/>
            <w:tcBorders>
              <w:top w:val="nil"/>
            </w:tcBorders>
            <w:textDirection w:val="btLr"/>
          </w:tcPr>
          <w:p w14:paraId="2442276B" w14:textId="77777777" w:rsidR="00222416" w:rsidRPr="004955DB" w:rsidRDefault="00222416" w:rsidP="00222416">
            <w:pPr>
              <w:rPr>
                <w:rFonts w:ascii="Arial" w:hAnsi="Arial" w:cs="Arial"/>
                <w:sz w:val="2"/>
                <w:szCs w:val="2"/>
                <w:lang w:val="fr-FR"/>
              </w:rPr>
            </w:pPr>
          </w:p>
        </w:tc>
        <w:tc>
          <w:tcPr>
            <w:tcW w:w="2102" w:type="dxa"/>
            <w:vAlign w:val="center"/>
          </w:tcPr>
          <w:p w14:paraId="18EEF1C4" w14:textId="77777777" w:rsidR="00222416" w:rsidRPr="00264A59" w:rsidRDefault="00222416" w:rsidP="00222416">
            <w:pPr>
              <w:pStyle w:val="TableParagraph"/>
              <w:spacing w:before="5"/>
              <w:jc w:val="center"/>
              <w:rPr>
                <w:rFonts w:ascii="Arial" w:hAnsi="Arial" w:cs="Arial"/>
                <w:smallCaps/>
                <w:sz w:val="12"/>
                <w:lang w:val="fr-FR"/>
              </w:rPr>
            </w:pPr>
          </w:p>
          <w:p w14:paraId="21BDA108" w14:textId="04744418" w:rsidR="00222416" w:rsidRPr="00264A59" w:rsidRDefault="00264A59" w:rsidP="00222416">
            <w:pPr>
              <w:pStyle w:val="TableParagraph"/>
              <w:ind w:left="407" w:right="373" w:hanging="15"/>
              <w:jc w:val="center"/>
              <w:rPr>
                <w:rFonts w:ascii="Arial" w:hAnsi="Arial" w:cs="Arial"/>
                <w:b/>
                <w:smallCaps/>
                <w:sz w:val="14"/>
                <w:lang w:val="fr-FR"/>
              </w:rPr>
            </w:pPr>
            <w:r w:rsidRPr="00264A59">
              <w:rPr>
                <w:rFonts w:ascii="Arial" w:hAnsi="Arial" w:cs="Arial"/>
                <w:b/>
                <w:smallCaps/>
                <w:spacing w:val="-1"/>
                <w:sz w:val="18"/>
                <w:szCs w:val="28"/>
                <w:lang w:val="fr-FR"/>
              </w:rPr>
              <w:t>Modalités de candidature</w:t>
            </w:r>
          </w:p>
        </w:tc>
        <w:tc>
          <w:tcPr>
            <w:tcW w:w="7799" w:type="dxa"/>
          </w:tcPr>
          <w:p w14:paraId="190FF92A" w14:textId="208BB216" w:rsidR="00222416" w:rsidRPr="00D10B4C" w:rsidRDefault="0022241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Les dossiers de candidature, constitués d'un CV, d'une lettre de motivation, de la copie du dernier arrêté de promotion ou de nomination, doivent parvenir par la voie hiérarchique</w:t>
            </w:r>
            <w:r w:rsidR="00C978CB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, uniquement par voie électronique à l’adresse</w:t>
            </w:r>
            <w:hyperlink r:id="rId6" w:history="1">
              <w:r w:rsidR="008254CA" w:rsidRPr="006652E9">
                <w:rPr>
                  <w:rStyle w:val="Lienhypertexte"/>
                  <w:lang w:val="fr-FR"/>
                </w:rPr>
                <w:t xml:space="preserve"> </w:t>
              </w:r>
              <w:r w:rsidR="008254CA" w:rsidRPr="006652E9">
                <w:rPr>
                  <w:rStyle w:val="Lienhypertexte"/>
                  <w:rFonts w:ascii="Arial" w:eastAsia="Times New Roman" w:hAnsi="Arial" w:cs="Arial"/>
                  <w:sz w:val="20"/>
                  <w:szCs w:val="20"/>
                  <w:lang/>
                </w:rPr>
                <w:t>recrutement-drh@ac-guyane.fr</w:t>
              </w:r>
            </w:hyperlink>
            <w:r w:rsidR="00353FD1">
              <w:rPr>
                <w:rFonts w:eastAsia="Times New Roman"/>
                <w:sz w:val="20"/>
                <w:szCs w:val="20"/>
                <w:lang w:val="fr-FR"/>
              </w:rPr>
              <w:t xml:space="preserve">, avec copie à </w:t>
            </w:r>
            <w:hyperlink r:id="rId7" w:history="1">
              <w:r w:rsidR="00353FD1" w:rsidRPr="008A600A">
                <w:rPr>
                  <w:rStyle w:val="Lienhypertexte"/>
                  <w:rFonts w:eastAsia="Times New Roman"/>
                  <w:sz w:val="20"/>
                  <w:szCs w:val="20"/>
                  <w:lang w:val="fr-FR"/>
                </w:rPr>
                <w:t>ce.recteur@ac-guyane.fr</w:t>
              </w:r>
            </w:hyperlink>
            <w:r w:rsidR="00353FD1">
              <w:rPr>
                <w:rFonts w:eastAsia="Times New Roman"/>
                <w:sz w:val="20"/>
                <w:szCs w:val="20"/>
                <w:lang w:val="fr-FR"/>
              </w:rPr>
              <w:t xml:space="preserve">, </w:t>
            </w:r>
            <w:r w:rsidR="00C978CB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 xml:space="preserve">au plus tard le </w:t>
            </w:r>
            <w:r w:rsidR="00264A5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17</w:t>
            </w:r>
            <w:r w:rsidR="008254CA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juin 2024</w:t>
            </w:r>
            <w:r w:rsidR="00C978CB"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, délai de rigueur</w:t>
            </w:r>
          </w:p>
          <w:p w14:paraId="3605E3E9" w14:textId="1FF12F52" w:rsidR="00962F36" w:rsidRPr="00D10B4C" w:rsidRDefault="00962F36" w:rsidP="00D10B4C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 w:rsidRPr="00D10B4C">
              <w:rPr>
                <w:rFonts w:ascii="Arial" w:eastAsia="Times New Roman" w:hAnsi="Arial" w:cs="Arial"/>
                <w:sz w:val="20"/>
                <w:szCs w:val="20"/>
                <w:lang/>
              </w:rPr>
              <w:t>Entretien avec une commission de recrutement</w:t>
            </w:r>
          </w:p>
          <w:p w14:paraId="2368EDA7" w14:textId="27C7D657" w:rsidR="00222416" w:rsidRPr="004955DB" w:rsidRDefault="00222416" w:rsidP="00C978CB">
            <w:pPr>
              <w:spacing w:line="240" w:lineRule="auto"/>
              <w:ind w:left="170" w:right="170"/>
              <w:jc w:val="both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14:paraId="174E5A05" w14:textId="2ABBD57D" w:rsidR="00140D13" w:rsidRDefault="00140D13" w:rsidP="00FE563F"/>
    <w:p w14:paraId="5600891C" w14:textId="0BF15A8A" w:rsidR="0040441E" w:rsidRPr="0040441E" w:rsidRDefault="0040441E" w:rsidP="00D10B4C">
      <w:pPr>
        <w:widowControl/>
        <w:autoSpaceDE/>
        <w:autoSpaceDN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0441E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14:paraId="02F9E4F2" w14:textId="77777777" w:rsidR="0040441E" w:rsidRDefault="0040441E" w:rsidP="00FE563F"/>
    <w:sectPr w:rsidR="0040441E" w:rsidSect="00FE563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3233"/>
    <w:multiLevelType w:val="hybridMultilevel"/>
    <w:tmpl w:val="24C4B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38B5"/>
    <w:multiLevelType w:val="hybridMultilevel"/>
    <w:tmpl w:val="609CDEB2"/>
    <w:lvl w:ilvl="0" w:tplc="0FD603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0251"/>
    <w:multiLevelType w:val="multilevel"/>
    <w:tmpl w:val="2334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D1E4B"/>
    <w:multiLevelType w:val="hybridMultilevel"/>
    <w:tmpl w:val="A0CA06CA"/>
    <w:lvl w:ilvl="0" w:tplc="E18EA0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6C31"/>
    <w:multiLevelType w:val="hybridMultilevel"/>
    <w:tmpl w:val="A970BF40"/>
    <w:lvl w:ilvl="0" w:tplc="9C82D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8D9"/>
    <w:multiLevelType w:val="hybridMultilevel"/>
    <w:tmpl w:val="A754DC6A"/>
    <w:lvl w:ilvl="0" w:tplc="74D8EC14">
      <w:numFmt w:val="bullet"/>
      <w:lvlText w:val=""/>
      <w:lvlJc w:val="left"/>
      <w:pPr>
        <w:ind w:left="1111" w:hanging="360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5588BB70">
      <w:numFmt w:val="bullet"/>
      <w:lvlText w:val="•"/>
      <w:lvlJc w:val="left"/>
      <w:pPr>
        <w:ind w:left="1786" w:hanging="360"/>
      </w:pPr>
      <w:rPr>
        <w:rFonts w:hint="default"/>
        <w:lang w:val="fr-FR" w:eastAsia="en-US" w:bidi="ar-SA"/>
      </w:rPr>
    </w:lvl>
    <w:lvl w:ilvl="2" w:tplc="2716BE20">
      <w:numFmt w:val="bullet"/>
      <w:lvlText w:val="•"/>
      <w:lvlJc w:val="left"/>
      <w:pPr>
        <w:ind w:left="2453" w:hanging="360"/>
      </w:pPr>
      <w:rPr>
        <w:rFonts w:hint="default"/>
        <w:lang w:val="fr-FR" w:eastAsia="en-US" w:bidi="ar-SA"/>
      </w:rPr>
    </w:lvl>
    <w:lvl w:ilvl="3" w:tplc="4D285E0E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  <w:lvl w:ilvl="4" w:tplc="99DE61BC">
      <w:numFmt w:val="bullet"/>
      <w:lvlText w:val="•"/>
      <w:lvlJc w:val="left"/>
      <w:pPr>
        <w:ind w:left="3787" w:hanging="360"/>
      </w:pPr>
      <w:rPr>
        <w:rFonts w:hint="default"/>
        <w:lang w:val="fr-FR" w:eastAsia="en-US" w:bidi="ar-SA"/>
      </w:rPr>
    </w:lvl>
    <w:lvl w:ilvl="5" w:tplc="E042DE7C">
      <w:numFmt w:val="bullet"/>
      <w:lvlText w:val="•"/>
      <w:lvlJc w:val="left"/>
      <w:pPr>
        <w:ind w:left="4454" w:hanging="360"/>
      </w:pPr>
      <w:rPr>
        <w:rFonts w:hint="default"/>
        <w:lang w:val="fr-FR" w:eastAsia="en-US" w:bidi="ar-SA"/>
      </w:rPr>
    </w:lvl>
    <w:lvl w:ilvl="6" w:tplc="E572C99E">
      <w:numFmt w:val="bullet"/>
      <w:lvlText w:val="•"/>
      <w:lvlJc w:val="left"/>
      <w:pPr>
        <w:ind w:left="5121" w:hanging="360"/>
      </w:pPr>
      <w:rPr>
        <w:rFonts w:hint="default"/>
        <w:lang w:val="fr-FR" w:eastAsia="en-US" w:bidi="ar-SA"/>
      </w:rPr>
    </w:lvl>
    <w:lvl w:ilvl="7" w:tplc="6BDC718C">
      <w:numFmt w:val="bullet"/>
      <w:lvlText w:val="•"/>
      <w:lvlJc w:val="left"/>
      <w:pPr>
        <w:ind w:left="5788" w:hanging="360"/>
      </w:pPr>
      <w:rPr>
        <w:rFonts w:hint="default"/>
        <w:lang w:val="fr-FR" w:eastAsia="en-US" w:bidi="ar-SA"/>
      </w:rPr>
    </w:lvl>
    <w:lvl w:ilvl="8" w:tplc="61BAA356">
      <w:numFmt w:val="bullet"/>
      <w:lvlText w:val="•"/>
      <w:lvlJc w:val="left"/>
      <w:pPr>
        <w:ind w:left="6455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37F57CC2"/>
    <w:multiLevelType w:val="multilevel"/>
    <w:tmpl w:val="0A6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4518C"/>
    <w:multiLevelType w:val="hybridMultilevel"/>
    <w:tmpl w:val="877E6782"/>
    <w:lvl w:ilvl="0" w:tplc="9F0E80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A05FB"/>
    <w:multiLevelType w:val="hybridMultilevel"/>
    <w:tmpl w:val="6222512A"/>
    <w:lvl w:ilvl="0" w:tplc="1740791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A520400C">
      <w:numFmt w:val="bullet"/>
      <w:lvlText w:val="•"/>
      <w:lvlJc w:val="left"/>
      <w:pPr>
        <w:ind w:left="1516" w:hanging="361"/>
      </w:pPr>
      <w:rPr>
        <w:rFonts w:hint="default"/>
        <w:lang w:val="fr-FR" w:eastAsia="en-US" w:bidi="ar-SA"/>
      </w:rPr>
    </w:lvl>
    <w:lvl w:ilvl="2" w:tplc="73E8F712">
      <w:numFmt w:val="bullet"/>
      <w:lvlText w:val="•"/>
      <w:lvlJc w:val="left"/>
      <w:pPr>
        <w:ind w:left="2213" w:hanging="361"/>
      </w:pPr>
      <w:rPr>
        <w:rFonts w:hint="default"/>
        <w:lang w:val="fr-FR" w:eastAsia="en-US" w:bidi="ar-SA"/>
      </w:rPr>
    </w:lvl>
    <w:lvl w:ilvl="3" w:tplc="F68ACEDC">
      <w:numFmt w:val="bullet"/>
      <w:lvlText w:val="•"/>
      <w:lvlJc w:val="left"/>
      <w:pPr>
        <w:ind w:left="2910" w:hanging="361"/>
      </w:pPr>
      <w:rPr>
        <w:rFonts w:hint="default"/>
        <w:lang w:val="fr-FR" w:eastAsia="en-US" w:bidi="ar-SA"/>
      </w:rPr>
    </w:lvl>
    <w:lvl w:ilvl="4" w:tplc="5D469E42">
      <w:numFmt w:val="bullet"/>
      <w:lvlText w:val="•"/>
      <w:lvlJc w:val="left"/>
      <w:pPr>
        <w:ind w:left="3607" w:hanging="361"/>
      </w:pPr>
      <w:rPr>
        <w:rFonts w:hint="default"/>
        <w:lang w:val="fr-FR" w:eastAsia="en-US" w:bidi="ar-SA"/>
      </w:rPr>
    </w:lvl>
    <w:lvl w:ilvl="5" w:tplc="E662C560">
      <w:numFmt w:val="bullet"/>
      <w:lvlText w:val="•"/>
      <w:lvlJc w:val="left"/>
      <w:pPr>
        <w:ind w:left="4304" w:hanging="361"/>
      </w:pPr>
      <w:rPr>
        <w:rFonts w:hint="default"/>
        <w:lang w:val="fr-FR" w:eastAsia="en-US" w:bidi="ar-SA"/>
      </w:rPr>
    </w:lvl>
    <w:lvl w:ilvl="6" w:tplc="6C7A1584">
      <w:numFmt w:val="bullet"/>
      <w:lvlText w:val="•"/>
      <w:lvlJc w:val="left"/>
      <w:pPr>
        <w:ind w:left="5001" w:hanging="361"/>
      </w:pPr>
      <w:rPr>
        <w:rFonts w:hint="default"/>
        <w:lang w:val="fr-FR" w:eastAsia="en-US" w:bidi="ar-SA"/>
      </w:rPr>
    </w:lvl>
    <w:lvl w:ilvl="7" w:tplc="BD167480">
      <w:numFmt w:val="bullet"/>
      <w:lvlText w:val="•"/>
      <w:lvlJc w:val="left"/>
      <w:pPr>
        <w:ind w:left="5698" w:hanging="361"/>
      </w:pPr>
      <w:rPr>
        <w:rFonts w:hint="default"/>
        <w:lang w:val="fr-FR" w:eastAsia="en-US" w:bidi="ar-SA"/>
      </w:rPr>
    </w:lvl>
    <w:lvl w:ilvl="8" w:tplc="ADD8C978">
      <w:numFmt w:val="bullet"/>
      <w:lvlText w:val="•"/>
      <w:lvlJc w:val="left"/>
      <w:pPr>
        <w:ind w:left="6395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5B161ABC"/>
    <w:multiLevelType w:val="multilevel"/>
    <w:tmpl w:val="8918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E1074"/>
    <w:multiLevelType w:val="hybridMultilevel"/>
    <w:tmpl w:val="A88C6C1E"/>
    <w:lvl w:ilvl="0" w:tplc="9C82D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93125"/>
    <w:multiLevelType w:val="hybridMultilevel"/>
    <w:tmpl w:val="061CD4F0"/>
    <w:lvl w:ilvl="0" w:tplc="97EA7FC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C5725622">
      <w:numFmt w:val="bullet"/>
      <w:lvlText w:val="•"/>
      <w:lvlJc w:val="left"/>
      <w:pPr>
        <w:ind w:left="1516" w:hanging="361"/>
      </w:pPr>
      <w:rPr>
        <w:rFonts w:hint="default"/>
        <w:lang w:val="fr-FR" w:eastAsia="en-US" w:bidi="ar-SA"/>
      </w:rPr>
    </w:lvl>
    <w:lvl w:ilvl="2" w:tplc="CFCA36F4">
      <w:numFmt w:val="bullet"/>
      <w:lvlText w:val="•"/>
      <w:lvlJc w:val="left"/>
      <w:pPr>
        <w:ind w:left="2213" w:hanging="361"/>
      </w:pPr>
      <w:rPr>
        <w:rFonts w:hint="default"/>
        <w:lang w:val="fr-FR" w:eastAsia="en-US" w:bidi="ar-SA"/>
      </w:rPr>
    </w:lvl>
    <w:lvl w:ilvl="3" w:tplc="B6625754">
      <w:numFmt w:val="bullet"/>
      <w:lvlText w:val="•"/>
      <w:lvlJc w:val="left"/>
      <w:pPr>
        <w:ind w:left="2910" w:hanging="361"/>
      </w:pPr>
      <w:rPr>
        <w:rFonts w:hint="default"/>
        <w:lang w:val="fr-FR" w:eastAsia="en-US" w:bidi="ar-SA"/>
      </w:rPr>
    </w:lvl>
    <w:lvl w:ilvl="4" w:tplc="9DBE0BDA">
      <w:numFmt w:val="bullet"/>
      <w:lvlText w:val="•"/>
      <w:lvlJc w:val="left"/>
      <w:pPr>
        <w:ind w:left="3607" w:hanging="361"/>
      </w:pPr>
      <w:rPr>
        <w:rFonts w:hint="default"/>
        <w:lang w:val="fr-FR" w:eastAsia="en-US" w:bidi="ar-SA"/>
      </w:rPr>
    </w:lvl>
    <w:lvl w:ilvl="5" w:tplc="FFA64C5E">
      <w:numFmt w:val="bullet"/>
      <w:lvlText w:val="•"/>
      <w:lvlJc w:val="left"/>
      <w:pPr>
        <w:ind w:left="4304" w:hanging="361"/>
      </w:pPr>
      <w:rPr>
        <w:rFonts w:hint="default"/>
        <w:lang w:val="fr-FR" w:eastAsia="en-US" w:bidi="ar-SA"/>
      </w:rPr>
    </w:lvl>
    <w:lvl w:ilvl="6" w:tplc="35F08E52">
      <w:numFmt w:val="bullet"/>
      <w:lvlText w:val="•"/>
      <w:lvlJc w:val="left"/>
      <w:pPr>
        <w:ind w:left="5001" w:hanging="361"/>
      </w:pPr>
      <w:rPr>
        <w:rFonts w:hint="default"/>
        <w:lang w:val="fr-FR" w:eastAsia="en-US" w:bidi="ar-SA"/>
      </w:rPr>
    </w:lvl>
    <w:lvl w:ilvl="7" w:tplc="7D0E0B86">
      <w:numFmt w:val="bullet"/>
      <w:lvlText w:val="•"/>
      <w:lvlJc w:val="left"/>
      <w:pPr>
        <w:ind w:left="5698" w:hanging="361"/>
      </w:pPr>
      <w:rPr>
        <w:rFonts w:hint="default"/>
        <w:lang w:val="fr-FR" w:eastAsia="en-US" w:bidi="ar-SA"/>
      </w:rPr>
    </w:lvl>
    <w:lvl w:ilvl="8" w:tplc="6DD61936">
      <w:numFmt w:val="bullet"/>
      <w:lvlText w:val="•"/>
      <w:lvlJc w:val="left"/>
      <w:pPr>
        <w:ind w:left="6395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76E3332B"/>
    <w:multiLevelType w:val="multilevel"/>
    <w:tmpl w:val="77E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5A06A0"/>
    <w:multiLevelType w:val="hybridMultilevel"/>
    <w:tmpl w:val="B48CEBA6"/>
    <w:lvl w:ilvl="0" w:tplc="03843382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777C2D74">
      <w:numFmt w:val="bullet"/>
      <w:lvlText w:val="•"/>
      <w:lvlJc w:val="left"/>
      <w:pPr>
        <w:ind w:left="1534" w:hanging="361"/>
      </w:pPr>
      <w:rPr>
        <w:rFonts w:hint="default"/>
        <w:lang w:val="fr-FR" w:eastAsia="en-US" w:bidi="ar-SA"/>
      </w:rPr>
    </w:lvl>
    <w:lvl w:ilvl="2" w:tplc="2A94C994">
      <w:numFmt w:val="bullet"/>
      <w:lvlText w:val="•"/>
      <w:lvlJc w:val="left"/>
      <w:pPr>
        <w:ind w:left="2229" w:hanging="361"/>
      </w:pPr>
      <w:rPr>
        <w:rFonts w:hint="default"/>
        <w:lang w:val="fr-FR" w:eastAsia="en-US" w:bidi="ar-SA"/>
      </w:rPr>
    </w:lvl>
    <w:lvl w:ilvl="3" w:tplc="DA64AA32">
      <w:numFmt w:val="bullet"/>
      <w:lvlText w:val="•"/>
      <w:lvlJc w:val="left"/>
      <w:pPr>
        <w:ind w:left="2924" w:hanging="361"/>
      </w:pPr>
      <w:rPr>
        <w:rFonts w:hint="default"/>
        <w:lang w:val="fr-FR" w:eastAsia="en-US" w:bidi="ar-SA"/>
      </w:rPr>
    </w:lvl>
    <w:lvl w:ilvl="4" w:tplc="CB10DCC2">
      <w:numFmt w:val="bullet"/>
      <w:lvlText w:val="•"/>
      <w:lvlJc w:val="left"/>
      <w:pPr>
        <w:ind w:left="3619" w:hanging="361"/>
      </w:pPr>
      <w:rPr>
        <w:rFonts w:hint="default"/>
        <w:lang w:val="fr-FR" w:eastAsia="en-US" w:bidi="ar-SA"/>
      </w:rPr>
    </w:lvl>
    <w:lvl w:ilvl="5" w:tplc="B9F6A426">
      <w:numFmt w:val="bullet"/>
      <w:lvlText w:val="•"/>
      <w:lvlJc w:val="left"/>
      <w:pPr>
        <w:ind w:left="4314" w:hanging="361"/>
      </w:pPr>
      <w:rPr>
        <w:rFonts w:hint="default"/>
        <w:lang w:val="fr-FR" w:eastAsia="en-US" w:bidi="ar-SA"/>
      </w:rPr>
    </w:lvl>
    <w:lvl w:ilvl="6" w:tplc="E5FA24A0">
      <w:numFmt w:val="bullet"/>
      <w:lvlText w:val="•"/>
      <w:lvlJc w:val="left"/>
      <w:pPr>
        <w:ind w:left="5009" w:hanging="361"/>
      </w:pPr>
      <w:rPr>
        <w:rFonts w:hint="default"/>
        <w:lang w:val="fr-FR" w:eastAsia="en-US" w:bidi="ar-SA"/>
      </w:rPr>
    </w:lvl>
    <w:lvl w:ilvl="7" w:tplc="95742E7C">
      <w:numFmt w:val="bullet"/>
      <w:lvlText w:val="•"/>
      <w:lvlJc w:val="left"/>
      <w:pPr>
        <w:ind w:left="5704" w:hanging="361"/>
      </w:pPr>
      <w:rPr>
        <w:rFonts w:hint="default"/>
        <w:lang w:val="fr-FR" w:eastAsia="en-US" w:bidi="ar-SA"/>
      </w:rPr>
    </w:lvl>
    <w:lvl w:ilvl="8" w:tplc="98521452">
      <w:numFmt w:val="bullet"/>
      <w:lvlText w:val="•"/>
      <w:lvlJc w:val="left"/>
      <w:pPr>
        <w:ind w:left="6399" w:hanging="361"/>
      </w:pPr>
      <w:rPr>
        <w:rFonts w:hint="default"/>
        <w:lang w:val="fr-FR" w:eastAsia="en-US" w:bidi="ar-SA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3F"/>
    <w:rsid w:val="00077FA5"/>
    <w:rsid w:val="00097321"/>
    <w:rsid w:val="000B20A5"/>
    <w:rsid w:val="00140D13"/>
    <w:rsid w:val="001A6846"/>
    <w:rsid w:val="001E2772"/>
    <w:rsid w:val="00222416"/>
    <w:rsid w:val="00264A59"/>
    <w:rsid w:val="00353FD1"/>
    <w:rsid w:val="00387C32"/>
    <w:rsid w:val="0040441E"/>
    <w:rsid w:val="004955DB"/>
    <w:rsid w:val="004A5BDA"/>
    <w:rsid w:val="0066262E"/>
    <w:rsid w:val="00671750"/>
    <w:rsid w:val="00727575"/>
    <w:rsid w:val="00751725"/>
    <w:rsid w:val="008254CA"/>
    <w:rsid w:val="008A600A"/>
    <w:rsid w:val="008E0880"/>
    <w:rsid w:val="00962F36"/>
    <w:rsid w:val="00A04D76"/>
    <w:rsid w:val="00BA5F40"/>
    <w:rsid w:val="00C978CB"/>
    <w:rsid w:val="00D10B4C"/>
    <w:rsid w:val="00D4742C"/>
    <w:rsid w:val="00E34EC9"/>
    <w:rsid w:val="00EA34A3"/>
    <w:rsid w:val="00EB7A03"/>
    <w:rsid w:val="00EC6A92"/>
    <w:rsid w:val="00F24044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4C3"/>
  <w15:docId w15:val="{A73FA8F5-ED68-4FF0-A7B7-FB6210DB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3F"/>
    <w:pPr>
      <w:widowControl w:val="0"/>
      <w:autoSpaceDE w:val="0"/>
      <w:autoSpaceDN w:val="0"/>
      <w:spacing w:after="120" w:line="276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6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563F"/>
  </w:style>
  <w:style w:type="paragraph" w:styleId="NormalWeb">
    <w:name w:val="Normal (Web)"/>
    <w:basedOn w:val="Normal"/>
    <w:uiPriority w:val="99"/>
    <w:unhideWhenUsed/>
    <w:rsid w:val="00EC6A92"/>
    <w:pPr>
      <w:widowControl/>
      <w:autoSpaceDE/>
      <w:autoSpaceDN/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2241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78C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978C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66262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04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.recteur@ac-guyan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recrutement-drh@ac-guyan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BF06-3CC2-4B8A-9F59-3D55110E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cmelon</dc:creator>
  <cp:lastModifiedBy>Sabine Roue</cp:lastModifiedBy>
  <cp:revision>3</cp:revision>
  <cp:lastPrinted>2024-04-23T15:19:00Z</cp:lastPrinted>
  <dcterms:created xsi:type="dcterms:W3CDTF">2024-05-27T12:37:00Z</dcterms:created>
  <dcterms:modified xsi:type="dcterms:W3CDTF">2024-05-27T12:38:00Z</dcterms:modified>
</cp:coreProperties>
</file>