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996A" w14:textId="77777777" w:rsidR="00FE563F" w:rsidRDefault="00FE563F" w:rsidP="00FE563F">
      <w:pPr>
        <w:widowControl/>
        <w:autoSpaceDE/>
        <w:autoSpaceDN/>
        <w:spacing w:after="160" w:line="259" w:lineRule="auto"/>
        <w:rPr>
          <w:rFonts w:ascii="Trebuchet MS"/>
          <w:b/>
          <w:sz w:val="15"/>
        </w:rPr>
      </w:pPr>
    </w:p>
    <w:tbl>
      <w:tblPr>
        <w:tblStyle w:val="TableNormal"/>
        <w:tblW w:w="1049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102"/>
        <w:gridCol w:w="7799"/>
      </w:tblGrid>
      <w:tr w:rsidR="00FE563F" w:rsidRPr="004955DB" w14:paraId="76031CF3" w14:textId="77777777" w:rsidTr="00222416">
        <w:trPr>
          <w:trHeight w:val="515"/>
        </w:trPr>
        <w:tc>
          <w:tcPr>
            <w:tcW w:w="10492" w:type="dxa"/>
            <w:gridSpan w:val="3"/>
          </w:tcPr>
          <w:p w14:paraId="471E71DE" w14:textId="77777777" w:rsidR="00FE563F" w:rsidRPr="004955DB" w:rsidRDefault="00FE563F" w:rsidP="009606A6">
            <w:pPr>
              <w:pStyle w:val="TableParagraph"/>
              <w:spacing w:before="120"/>
              <w:ind w:left="4054" w:right="4051"/>
              <w:jc w:val="center"/>
              <w:rPr>
                <w:rFonts w:ascii="Arial" w:hAnsi="Arial" w:cs="Arial"/>
                <w:b/>
                <w:sz w:val="24"/>
                <w:lang w:val="fr-FR"/>
              </w:rPr>
            </w:pPr>
            <w:r w:rsidRPr="004955DB">
              <w:rPr>
                <w:rFonts w:ascii="Arial" w:hAnsi="Arial" w:cs="Arial"/>
                <w:b/>
                <w:sz w:val="24"/>
                <w:lang w:val="fr-FR"/>
              </w:rPr>
              <w:t>FICHE</w:t>
            </w:r>
            <w:r w:rsidRPr="004955DB">
              <w:rPr>
                <w:rFonts w:ascii="Arial" w:hAnsi="Arial" w:cs="Arial"/>
                <w:b/>
                <w:spacing w:val="-1"/>
                <w:sz w:val="24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z w:val="24"/>
                <w:lang w:val="fr-FR"/>
              </w:rPr>
              <w:t>DE POSTE</w:t>
            </w:r>
          </w:p>
        </w:tc>
      </w:tr>
      <w:tr w:rsidR="00E34EC9" w:rsidRPr="004955DB" w14:paraId="36FB89B1" w14:textId="77777777" w:rsidTr="00264A59">
        <w:trPr>
          <w:trHeight w:val="1565"/>
        </w:trPr>
        <w:tc>
          <w:tcPr>
            <w:tcW w:w="591" w:type="dxa"/>
            <w:textDirection w:val="btLr"/>
            <w:vAlign w:val="center"/>
          </w:tcPr>
          <w:p w14:paraId="2753BC3B" w14:textId="77777777" w:rsidR="00E34EC9" w:rsidRPr="004955DB" w:rsidRDefault="00E34EC9" w:rsidP="00264A59">
            <w:pPr>
              <w:pStyle w:val="TableParagraph"/>
              <w:spacing w:line="244" w:lineRule="auto"/>
              <w:ind w:left="366" w:right="119" w:hanging="231"/>
              <w:jc w:val="center"/>
              <w:rPr>
                <w:rFonts w:ascii="Arial" w:hAnsi="Arial" w:cs="Arial"/>
                <w:b/>
                <w:sz w:val="16"/>
                <w:lang w:val="fr-FR"/>
              </w:rPr>
            </w:pPr>
            <w:r w:rsidRPr="004955DB">
              <w:rPr>
                <w:rFonts w:ascii="Arial" w:hAnsi="Arial" w:cs="Arial"/>
                <w:b/>
                <w:sz w:val="16"/>
                <w:lang w:val="fr-FR"/>
              </w:rPr>
              <w:t>IDENTIFICATION</w:t>
            </w:r>
            <w:r w:rsidRPr="004955DB">
              <w:rPr>
                <w:rFonts w:ascii="Arial" w:hAnsi="Arial" w:cs="Arial"/>
                <w:b/>
                <w:spacing w:val="-42"/>
                <w:sz w:val="16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z w:val="16"/>
                <w:lang w:val="fr-FR"/>
              </w:rPr>
              <w:t>DU POSTE</w:t>
            </w:r>
          </w:p>
        </w:tc>
        <w:tc>
          <w:tcPr>
            <w:tcW w:w="2102" w:type="dxa"/>
            <w:vAlign w:val="center"/>
          </w:tcPr>
          <w:p w14:paraId="5268F5C7" w14:textId="6A91E92E" w:rsidR="00E34EC9" w:rsidRPr="00264A59" w:rsidRDefault="00264A59" w:rsidP="00EC6A92">
            <w:pPr>
              <w:pStyle w:val="TableParagraph"/>
              <w:spacing w:before="138"/>
              <w:ind w:left="616" w:right="334" w:hanging="257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z w:val="20"/>
                <w:szCs w:val="20"/>
                <w:lang w:val="fr-FR"/>
              </w:rPr>
              <w:t>Intitulé du poste</w:t>
            </w:r>
          </w:p>
        </w:tc>
        <w:tc>
          <w:tcPr>
            <w:tcW w:w="7799" w:type="dxa"/>
            <w:vAlign w:val="center"/>
          </w:tcPr>
          <w:p w14:paraId="4EF8B9C5" w14:textId="003B73F2" w:rsidR="00E34EC9" w:rsidRPr="004955DB" w:rsidRDefault="00DA26F0" w:rsidP="00EC6A92">
            <w:pPr>
              <w:ind w:left="169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Animateur de réseau</w:t>
            </w:r>
            <w:r w:rsidR="0040441E" w:rsidRPr="004955DB">
              <w:rPr>
                <w:rFonts w:ascii="Arial" w:hAnsi="Arial" w:cs="Arial"/>
                <w:sz w:val="24"/>
                <w:szCs w:val="24"/>
                <w:lang w:val="fr-FR"/>
              </w:rPr>
              <w:t xml:space="preserve"> « Compétences psychosociales » </w:t>
            </w:r>
            <w:r w:rsidR="004955DB" w:rsidRPr="004955DB">
              <w:rPr>
                <w:rFonts w:ascii="Arial" w:hAnsi="Arial" w:cs="Arial"/>
                <w:sz w:val="24"/>
                <w:szCs w:val="24"/>
                <w:lang w:val="fr-FR"/>
              </w:rPr>
              <w:t>(CPS)</w:t>
            </w:r>
          </w:p>
        </w:tc>
      </w:tr>
      <w:tr w:rsidR="00FE563F" w:rsidRPr="004955DB" w14:paraId="3269D143" w14:textId="77777777" w:rsidTr="00264A59">
        <w:trPr>
          <w:trHeight w:val="760"/>
        </w:trPr>
        <w:tc>
          <w:tcPr>
            <w:tcW w:w="591" w:type="dxa"/>
            <w:vMerge w:val="restart"/>
            <w:textDirection w:val="btLr"/>
            <w:vAlign w:val="center"/>
          </w:tcPr>
          <w:p w14:paraId="7ADF88AB" w14:textId="77777777" w:rsidR="00FE563F" w:rsidRPr="004955DB" w:rsidRDefault="00FE563F" w:rsidP="00264A59">
            <w:pPr>
              <w:pStyle w:val="TableParagraph"/>
              <w:ind w:left="4133" w:right="4136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4955DB">
              <w:rPr>
                <w:rFonts w:ascii="Arial" w:hAnsi="Arial" w:cs="Arial"/>
                <w:b/>
                <w:sz w:val="18"/>
                <w:lang w:val="fr-FR"/>
              </w:rPr>
              <w:t>PROFIL</w:t>
            </w:r>
            <w:r w:rsidRPr="004955DB">
              <w:rPr>
                <w:rFonts w:ascii="Arial" w:hAnsi="Arial" w:cs="Arial"/>
                <w:b/>
                <w:spacing w:val="-1"/>
                <w:sz w:val="18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z w:val="18"/>
                <w:lang w:val="fr-FR"/>
              </w:rPr>
              <w:t>DU</w:t>
            </w:r>
            <w:r w:rsidRPr="004955DB">
              <w:rPr>
                <w:rFonts w:ascii="Arial" w:hAnsi="Arial" w:cs="Arial"/>
                <w:b/>
                <w:spacing w:val="-1"/>
                <w:sz w:val="18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z w:val="18"/>
                <w:lang w:val="fr-FR"/>
              </w:rPr>
              <w:t>POSTE</w:t>
            </w:r>
          </w:p>
        </w:tc>
        <w:tc>
          <w:tcPr>
            <w:tcW w:w="2102" w:type="dxa"/>
            <w:vAlign w:val="center"/>
          </w:tcPr>
          <w:p w14:paraId="2BEDD3EF" w14:textId="66A62F95" w:rsidR="00FE563F" w:rsidRPr="00264A59" w:rsidRDefault="00264A59" w:rsidP="00353FD1">
            <w:pPr>
              <w:pStyle w:val="TableParagraph"/>
              <w:spacing w:before="138"/>
              <w:ind w:left="616" w:right="334" w:hanging="257"/>
              <w:jc w:val="center"/>
              <w:rPr>
                <w:rFonts w:ascii="Arial" w:hAnsi="Arial" w:cs="Arial"/>
                <w:b/>
                <w:smallCaps/>
                <w:sz w:val="1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z w:val="18"/>
                <w:lang w:val="fr-FR"/>
              </w:rPr>
              <w:t>Cadre général</w:t>
            </w:r>
          </w:p>
        </w:tc>
        <w:tc>
          <w:tcPr>
            <w:tcW w:w="7799" w:type="dxa"/>
          </w:tcPr>
          <w:p w14:paraId="335D6FA9" w14:textId="26FA0919" w:rsidR="00EC6A92" w:rsidRDefault="00EC6A92" w:rsidP="00387C32">
            <w:pPr>
              <w:ind w:left="311" w:right="2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Placé sous l’autorité 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 xml:space="preserve">administrative 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>l’IEN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 w:rsidR="0040441E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>et l’autorité fonctionnelle du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référent </w:t>
            </w:r>
            <w:r w:rsidR="0040441E" w:rsidRPr="004955DB">
              <w:rPr>
                <w:rFonts w:ascii="Arial" w:hAnsi="Arial" w:cs="Arial"/>
                <w:sz w:val="20"/>
                <w:szCs w:val="20"/>
                <w:lang w:val="fr-FR"/>
              </w:rPr>
              <w:t>départemental « Compétences psychosociales »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>, l’animateur de réseau « Compétences psychosociales »</w:t>
            </w:r>
            <w:r w:rsidR="0040441E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 xml:space="preserve">formera et accompagnera les équipes pédagogiques </w:t>
            </w:r>
            <w:r w:rsidR="001779C0">
              <w:rPr>
                <w:rFonts w:ascii="Arial" w:hAnsi="Arial" w:cs="Arial"/>
                <w:sz w:val="20"/>
                <w:szCs w:val="20"/>
                <w:lang w:val="fr-FR"/>
              </w:rPr>
              <w:t>du 1</w:t>
            </w:r>
            <w:r w:rsidR="001779C0" w:rsidRPr="001779C0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="001779C0">
              <w:rPr>
                <w:rFonts w:ascii="Arial" w:hAnsi="Arial" w:cs="Arial"/>
                <w:sz w:val="20"/>
                <w:szCs w:val="20"/>
                <w:lang w:val="fr-FR"/>
              </w:rPr>
              <w:t xml:space="preserve"> degré à l’enseignement des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 xml:space="preserve"> CPS</w:t>
            </w:r>
            <w:r w:rsidR="0040441E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de la grande section au CM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>2, sous la responsabilité des directrices et directeurs</w:t>
            </w:r>
            <w:r w:rsidR="0040441E" w:rsidRPr="004955DB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727575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DF361D5" w14:textId="77777777" w:rsidR="005303C8" w:rsidRDefault="0040441E" w:rsidP="005303C8">
            <w:pPr>
              <w:pStyle w:val="NormalWeb"/>
              <w:spacing w:after="0" w:line="240" w:lineRule="auto"/>
              <w:ind w:left="311" w:right="2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="00232052">
              <w:rPr>
                <w:rFonts w:ascii="Arial" w:hAnsi="Arial" w:cs="Arial"/>
                <w:sz w:val="20"/>
                <w:szCs w:val="20"/>
                <w:lang w:val="fr-FR"/>
              </w:rPr>
              <w:t xml:space="preserve">’animateur de réseau « Compétences psychosociales » 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est </w:t>
            </w:r>
            <w:r w:rsidR="00073A7F">
              <w:rPr>
                <w:rFonts w:ascii="Arial" w:hAnsi="Arial" w:cs="Arial"/>
                <w:sz w:val="20"/>
                <w:szCs w:val="20"/>
                <w:lang w:val="fr-FR"/>
              </w:rPr>
              <w:t xml:space="preserve">chargé de </w:t>
            </w:r>
            <w:r w:rsidR="001779C0">
              <w:rPr>
                <w:rFonts w:ascii="Arial" w:hAnsi="Arial" w:cs="Arial"/>
                <w:sz w:val="20"/>
                <w:szCs w:val="20"/>
                <w:lang w:val="fr-FR"/>
              </w:rPr>
              <w:t>développer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 xml:space="preserve"> la formation aux CPS dans </w:t>
            </w:r>
            <w:r w:rsidR="00232052">
              <w:rPr>
                <w:rFonts w:ascii="Arial" w:hAnsi="Arial" w:cs="Arial"/>
                <w:sz w:val="20"/>
                <w:szCs w:val="20"/>
                <w:lang w:val="fr-FR"/>
              </w:rPr>
              <w:t>les apprentissages au 1</w:t>
            </w:r>
            <w:r w:rsidR="00232052" w:rsidRPr="00232052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="00232052">
              <w:rPr>
                <w:rFonts w:ascii="Arial" w:hAnsi="Arial" w:cs="Arial"/>
                <w:sz w:val="20"/>
                <w:szCs w:val="20"/>
                <w:lang w:val="fr-FR"/>
              </w:rPr>
              <w:t xml:space="preserve"> degré</w:t>
            </w:r>
          </w:p>
          <w:p w14:paraId="68F12E27" w14:textId="13BB78B9" w:rsidR="00EC6A92" w:rsidRPr="004955DB" w:rsidRDefault="005303C8" w:rsidP="005303C8">
            <w:pPr>
              <w:pStyle w:val="NormalWeb"/>
              <w:spacing w:after="0" w:line="240" w:lineRule="auto"/>
              <w:ind w:left="311" w:right="2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Il sera rattaché administrativement à la circonscription,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 xml:space="preserve"> mais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le temps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 xml:space="preserve"> de service s</w:t>
            </w:r>
            <w:r w:rsidR="00073A7F">
              <w:rPr>
                <w:rFonts w:ascii="Arial" w:hAnsi="Arial" w:cs="Arial"/>
                <w:sz w:val="20"/>
                <w:szCs w:val="20"/>
                <w:lang w:val="fr-FR"/>
              </w:rPr>
              <w:t xml:space="preserve">’effectuera </w:t>
            </w:r>
            <w:r w:rsidR="00DA26F0">
              <w:rPr>
                <w:rFonts w:ascii="Arial" w:hAnsi="Arial" w:cs="Arial"/>
                <w:sz w:val="20"/>
                <w:szCs w:val="20"/>
                <w:lang w:val="fr-FR"/>
              </w:rPr>
              <w:t xml:space="preserve">dans les écoles où il pourra co-intervenir lors des séances </w:t>
            </w:r>
          </w:p>
          <w:p w14:paraId="5DE84347" w14:textId="1735D0BF" w:rsidR="00FE563F" w:rsidRPr="004955DB" w:rsidRDefault="00FE563F" w:rsidP="00EC6A92">
            <w:pPr>
              <w:pStyle w:val="TableParagraph"/>
              <w:spacing w:line="190" w:lineRule="exact"/>
              <w:ind w:right="154"/>
              <w:jc w:val="both"/>
              <w:rPr>
                <w:rFonts w:ascii="Arial" w:hAnsi="Arial" w:cs="Arial"/>
                <w:sz w:val="16"/>
                <w:lang w:val="fr-FR"/>
              </w:rPr>
            </w:pPr>
          </w:p>
        </w:tc>
      </w:tr>
      <w:tr w:rsidR="00222416" w:rsidRPr="004955DB" w14:paraId="2FA1E410" w14:textId="77777777" w:rsidTr="00264A59">
        <w:trPr>
          <w:trHeight w:val="575"/>
        </w:trPr>
        <w:tc>
          <w:tcPr>
            <w:tcW w:w="591" w:type="dxa"/>
            <w:vMerge/>
            <w:tcBorders>
              <w:top w:val="nil"/>
            </w:tcBorders>
            <w:textDirection w:val="btLr"/>
            <w:vAlign w:val="center"/>
          </w:tcPr>
          <w:p w14:paraId="208DC258" w14:textId="77777777" w:rsidR="00222416" w:rsidRPr="004955DB" w:rsidRDefault="00222416" w:rsidP="00264A59">
            <w:pPr>
              <w:jc w:val="center"/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  <w:tc>
          <w:tcPr>
            <w:tcW w:w="2102" w:type="dxa"/>
            <w:vAlign w:val="center"/>
          </w:tcPr>
          <w:p w14:paraId="4578D9A4" w14:textId="0C7E0822" w:rsidR="00222416" w:rsidRPr="00264A59" w:rsidRDefault="00222416" w:rsidP="00353FD1">
            <w:pPr>
              <w:pStyle w:val="TableParagraph"/>
              <w:spacing w:before="138"/>
              <w:ind w:left="616" w:right="334" w:hanging="257"/>
              <w:jc w:val="center"/>
              <w:rPr>
                <w:rFonts w:ascii="Arial" w:hAnsi="Arial" w:cs="Arial"/>
                <w:b/>
                <w:smallCaps/>
                <w:sz w:val="1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z w:val="18"/>
                <w:lang w:val="fr-FR"/>
              </w:rPr>
              <w:t>M</w:t>
            </w:r>
            <w:r w:rsidR="00264A59" w:rsidRPr="00264A59">
              <w:rPr>
                <w:rFonts w:ascii="Arial" w:hAnsi="Arial" w:cs="Arial"/>
                <w:b/>
                <w:smallCaps/>
                <w:sz w:val="18"/>
                <w:lang w:val="fr-FR"/>
              </w:rPr>
              <w:t>issions</w:t>
            </w:r>
          </w:p>
        </w:tc>
        <w:tc>
          <w:tcPr>
            <w:tcW w:w="7799" w:type="dxa"/>
          </w:tcPr>
          <w:p w14:paraId="458E9371" w14:textId="0BDCD529" w:rsidR="00751725" w:rsidRPr="00D10B4C" w:rsidRDefault="0023205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Met</w:t>
            </w:r>
            <w:r w:rsidR="00751725" w:rsidRPr="0040441E">
              <w:rPr>
                <w:rFonts w:ascii="Arial" w:eastAsia="Times New Roman" w:hAnsi="Arial" w:cs="Arial"/>
                <w:sz w:val="20"/>
                <w:szCs w:val="20"/>
              </w:rPr>
              <w:t xml:space="preserve"> en œuvre des 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actions de formation et d’enseignement des compétences psychosociales dans le 1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degré</w:t>
            </w:r>
          </w:p>
          <w:p w14:paraId="395ADB6A" w14:textId="2FD68486" w:rsidR="00751725" w:rsidRPr="0040441E" w:rsidRDefault="00751725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441E">
              <w:rPr>
                <w:rFonts w:ascii="Arial" w:eastAsia="Times New Roman" w:hAnsi="Arial" w:cs="Arial"/>
                <w:sz w:val="20"/>
                <w:szCs w:val="20"/>
              </w:rPr>
              <w:t>Conçoit et anime des formations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des référents et des formateurs (CPD et CPC)</w:t>
            </w:r>
            <w:r w:rsidRPr="0040441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A827EF2" w14:textId="12CA4A7D" w:rsidR="00751725" w:rsidRPr="0040441E" w:rsidRDefault="001779C0" w:rsidP="001779C0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Accompagne</w:t>
            </w:r>
            <w:r w:rsidR="00751725" w:rsidRPr="0040441E">
              <w:rPr>
                <w:rFonts w:ascii="Arial" w:eastAsia="Times New Roman" w:hAnsi="Arial" w:cs="Arial"/>
                <w:sz w:val="20"/>
                <w:szCs w:val="20"/>
              </w:rPr>
              <w:t xml:space="preserve"> la montée en compétence individuelle et collective 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des enseignants </w:t>
            </w:r>
            <w:r w:rsidR="00751725" w:rsidRPr="0040441E">
              <w:rPr>
                <w:rFonts w:ascii="Arial" w:eastAsia="Times New Roman" w:hAnsi="Arial" w:cs="Arial"/>
                <w:sz w:val="20"/>
                <w:szCs w:val="20"/>
              </w:rPr>
              <w:t xml:space="preserve">sur </w:t>
            </w:r>
            <w:r w:rsidR="004955DB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les CPS</w:t>
            </w:r>
            <w:r w:rsidR="00751725" w:rsidRPr="0040441E">
              <w:rPr>
                <w:rFonts w:ascii="Arial" w:eastAsia="Times New Roman" w:hAnsi="Arial" w:cs="Arial"/>
                <w:sz w:val="20"/>
                <w:szCs w:val="20"/>
              </w:rPr>
              <w:t xml:space="preserve">, en lien avec les 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cadres de terrain (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IEN, 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directrices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et directeurs 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d’école)</w:t>
            </w:r>
          </w:p>
          <w:p w14:paraId="54F19993" w14:textId="21078B39" w:rsidR="00751725" w:rsidRPr="00232052" w:rsidRDefault="00D10B4C" w:rsidP="00232052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441E">
              <w:rPr>
                <w:rFonts w:ascii="Arial" w:eastAsia="Times New Roman" w:hAnsi="Arial" w:cs="Arial"/>
                <w:sz w:val="20"/>
                <w:szCs w:val="20"/>
              </w:rPr>
              <w:t>Construit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, avec le coordonnateur REP+, </w:t>
            </w:r>
            <w:r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le lien avec le </w:t>
            </w:r>
            <w:r w:rsid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collège tête de réseau pour garantir </w:t>
            </w:r>
            <w:r w:rsidR="004955DB" w:rsidRP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la continuité du parcours</w:t>
            </w:r>
            <w:r w:rsidR="00751725" w:rsidRPr="002320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notamment dans les champs du h</w:t>
            </w:r>
            <w:r w:rsidRP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arcèlement, </w:t>
            </w:r>
            <w:r w:rsid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de la l</w:t>
            </w:r>
            <w:r w:rsidRP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utte contre les violences en milieu scolaire et </w:t>
            </w:r>
            <w:r w:rsid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de la p</w:t>
            </w:r>
            <w:r w:rsidRP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révention des grossesses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précoces</w:t>
            </w:r>
          </w:p>
          <w:p w14:paraId="52396829" w14:textId="02F62FFD" w:rsidR="00222416" w:rsidRPr="00232052" w:rsidRDefault="0023205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Collecte et remonte les données relatives à la formation et à l’enseignement des CPS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dans le réseau</w:t>
            </w:r>
          </w:p>
          <w:p w14:paraId="4842396D" w14:textId="41CC88DD" w:rsidR="00232052" w:rsidRPr="004955DB" w:rsidRDefault="0023205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Renseigne un tableau de bord 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du réseau sur le développement des compétences psychosociales, le climat scolaire et les résultats des élèves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222416" w:rsidRPr="004955DB" w14:paraId="3FA61A45" w14:textId="77777777" w:rsidTr="00264A59">
        <w:trPr>
          <w:trHeight w:val="1120"/>
        </w:trPr>
        <w:tc>
          <w:tcPr>
            <w:tcW w:w="591" w:type="dxa"/>
            <w:vMerge/>
            <w:tcBorders>
              <w:top w:val="nil"/>
            </w:tcBorders>
            <w:textDirection w:val="btLr"/>
            <w:vAlign w:val="center"/>
          </w:tcPr>
          <w:p w14:paraId="5D66AE1F" w14:textId="77777777" w:rsidR="00222416" w:rsidRPr="004955DB" w:rsidRDefault="00222416" w:rsidP="00264A59">
            <w:pPr>
              <w:jc w:val="center"/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  <w:tc>
          <w:tcPr>
            <w:tcW w:w="2102" w:type="dxa"/>
            <w:vAlign w:val="center"/>
          </w:tcPr>
          <w:p w14:paraId="4B3B5918" w14:textId="0C0C6412" w:rsidR="00222416" w:rsidRPr="00264A59" w:rsidRDefault="00264A59" w:rsidP="00353FD1">
            <w:pPr>
              <w:pStyle w:val="TableParagraph"/>
              <w:spacing w:before="138"/>
              <w:ind w:left="616" w:right="334" w:hanging="257"/>
              <w:jc w:val="center"/>
              <w:rPr>
                <w:rFonts w:ascii="Arial" w:hAnsi="Arial" w:cs="Arial"/>
                <w:b/>
                <w:smallCaps/>
                <w:sz w:val="1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z w:val="18"/>
                <w:lang w:val="fr-FR"/>
              </w:rPr>
              <w:t>Compétences</w:t>
            </w:r>
          </w:p>
        </w:tc>
        <w:tc>
          <w:tcPr>
            <w:tcW w:w="7799" w:type="dxa"/>
          </w:tcPr>
          <w:p w14:paraId="31B3C0BF" w14:textId="3E990500" w:rsidR="00222416" w:rsidRPr="00D10B4C" w:rsidRDefault="005303C8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Être</w:t>
            </w:r>
            <w:r w:rsid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mobile sur toutes les écoles d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’un</w:t>
            </w:r>
            <w:r w:rsidR="002320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réseau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</w:p>
          <w:p w14:paraId="758BE204" w14:textId="120B8794" w:rsidR="00D10B4C" w:rsidRPr="00D10B4C" w:rsidRDefault="00D10B4C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</w:rPr>
              <w:t>Maîtriser les compétences psychosociales et leur enseignement chez les enfants de 5 à 11 ans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583FB2BF" w14:textId="37AE9A19" w:rsidR="00962F36" w:rsidRDefault="001E6D0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Concevoir et </w:t>
            </w:r>
            <w:r w:rsidR="00962F36" w:rsidRPr="00D10B4C">
              <w:rPr>
                <w:rFonts w:ascii="Arial" w:eastAsia="Times New Roman" w:hAnsi="Arial" w:cs="Arial"/>
                <w:sz w:val="20"/>
                <w:szCs w:val="20"/>
              </w:rPr>
              <w:t>conduire des actions de formation</w:t>
            </w:r>
          </w:p>
          <w:p w14:paraId="405A73FE" w14:textId="487AA5EE" w:rsidR="001E6D06" w:rsidRPr="00D10B4C" w:rsidRDefault="001E6D0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Produire des ressources pour l’enseignement des CPS au 1</w:t>
            </w:r>
            <w:r w:rsidRPr="001E6D0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degré, au sein du réseau des animateurs CPS</w:t>
            </w:r>
          </w:p>
          <w:p w14:paraId="3B3BD59E" w14:textId="4B029F2C" w:rsidR="00222416" w:rsidRPr="00D10B4C" w:rsidRDefault="00387C3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</w:rPr>
              <w:t xml:space="preserve">ommuniquer de manière efficace avec l’ensemble des 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acteurs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IEN, directrices et directeurs d’école, enseignants, coordonnateur REP+</w:t>
            </w:r>
            <w:r w:rsidR="001779C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, etc.)</w:t>
            </w:r>
          </w:p>
          <w:p w14:paraId="017ED5CF" w14:textId="3EA14562" w:rsidR="00222416" w:rsidRPr="00D10B4C" w:rsidRDefault="00387C3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</w:rPr>
              <w:t>ualités relationnelles</w:t>
            </w:r>
            <w:r w:rsidR="001E6D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</w:p>
          <w:p w14:paraId="79DD1DA5" w14:textId="2A91A90A" w:rsidR="00222416" w:rsidRPr="00D10B4C" w:rsidRDefault="001E6D0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Capacité d’analyse réflexive et </w:t>
            </w:r>
            <w:r w:rsidR="001779C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d’autoformation</w:t>
            </w:r>
          </w:p>
          <w:p w14:paraId="796CAC3B" w14:textId="778E4C6D" w:rsidR="00222416" w:rsidRDefault="001E6D0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Loyauté, respect de la hiérarchie (IEN et référent départemental CPS)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387C32" w:rsidRPr="00D10B4C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</w:rPr>
              <w:t>sprit d’équipe et d’organisation</w:t>
            </w:r>
            <w:r w:rsidR="00387C32" w:rsidRPr="00D10B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916F5B3" w14:textId="00877D47" w:rsidR="00095643" w:rsidRPr="00D10B4C" w:rsidRDefault="00095643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Compétences numériques et maîtrise des applications bureautiques </w:t>
            </w:r>
          </w:p>
          <w:p w14:paraId="3FDDEBA6" w14:textId="4CF4515A" w:rsidR="00222416" w:rsidRPr="00D10B4C" w:rsidRDefault="0022241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</w:rPr>
              <w:t>Discrétion et confidentialité.</w:t>
            </w:r>
          </w:p>
        </w:tc>
      </w:tr>
      <w:tr w:rsidR="00222416" w:rsidRPr="004955DB" w14:paraId="164D7E04" w14:textId="77777777" w:rsidTr="00264A59">
        <w:trPr>
          <w:trHeight w:val="481"/>
        </w:trPr>
        <w:tc>
          <w:tcPr>
            <w:tcW w:w="591" w:type="dxa"/>
            <w:vMerge w:val="restart"/>
            <w:textDirection w:val="btLr"/>
            <w:vAlign w:val="center"/>
          </w:tcPr>
          <w:p w14:paraId="6189D048" w14:textId="77777777" w:rsidR="00222416" w:rsidRPr="004955DB" w:rsidRDefault="00222416" w:rsidP="00264A59">
            <w:pPr>
              <w:pStyle w:val="TableParagraph"/>
              <w:spacing w:before="1" w:line="244" w:lineRule="auto"/>
              <w:ind w:left="210" w:right="203" w:firstLine="211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4955DB">
              <w:rPr>
                <w:rFonts w:ascii="Arial" w:hAnsi="Arial" w:cs="Arial"/>
                <w:b/>
                <w:sz w:val="18"/>
                <w:lang w:val="fr-FR"/>
              </w:rPr>
              <w:t>CONTEXTE</w:t>
            </w:r>
            <w:r w:rsidRPr="004955DB">
              <w:rPr>
                <w:rFonts w:ascii="Arial" w:hAnsi="Arial" w:cs="Arial"/>
                <w:b/>
                <w:spacing w:val="1"/>
                <w:sz w:val="18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pacing w:val="-1"/>
                <w:sz w:val="18"/>
                <w:lang w:val="fr-FR"/>
              </w:rPr>
              <w:t>ADMINISTRATIF</w:t>
            </w:r>
          </w:p>
        </w:tc>
        <w:tc>
          <w:tcPr>
            <w:tcW w:w="2102" w:type="dxa"/>
            <w:vAlign w:val="center"/>
          </w:tcPr>
          <w:p w14:paraId="7F08545C" w14:textId="1CD9F60F" w:rsidR="00222416" w:rsidRPr="00264A59" w:rsidRDefault="00222416" w:rsidP="00353FD1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P</w:t>
            </w:r>
            <w:r w:rsidR="00264A59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ré</w:t>
            </w: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-</w:t>
            </w:r>
            <w:r w:rsidR="00264A59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requis</w:t>
            </w:r>
          </w:p>
          <w:p w14:paraId="7D995770" w14:textId="07F7AB08" w:rsidR="00222416" w:rsidRPr="00264A59" w:rsidRDefault="00222416" w:rsidP="00353FD1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z w:val="14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(Diplômes ou expériences)</w:t>
            </w:r>
          </w:p>
        </w:tc>
        <w:tc>
          <w:tcPr>
            <w:tcW w:w="7799" w:type="dxa"/>
            <w:vAlign w:val="center"/>
          </w:tcPr>
          <w:p w14:paraId="77DC7027" w14:textId="77777777" w:rsidR="00095643" w:rsidRDefault="00387C32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</w:rPr>
              <w:t xml:space="preserve">Être </w:t>
            </w:r>
            <w:r w:rsidR="00751725" w:rsidRPr="00D10B4C">
              <w:rPr>
                <w:rFonts w:ascii="Arial" w:eastAsia="Times New Roman" w:hAnsi="Arial" w:cs="Arial"/>
                <w:sz w:val="20"/>
                <w:szCs w:val="20"/>
              </w:rPr>
              <w:t>titulaire</w:t>
            </w:r>
            <w:r w:rsidR="00D10B4C" w:rsidRPr="00D10B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A34A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d’un</w:t>
            </w:r>
            <w:r w:rsidR="0009564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 licence en psychologie ou d’un titre équivalent</w:t>
            </w:r>
          </w:p>
          <w:p w14:paraId="121FE3CC" w14:textId="10E68BCF" w:rsidR="00222416" w:rsidRPr="00095643" w:rsidRDefault="00095643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Être titulaire d’un titre ou justifier d’une formation aux compétences psychosociales </w:t>
            </w:r>
          </w:p>
          <w:p w14:paraId="19EF8EFF" w14:textId="4E6B0EB9" w:rsidR="00353FD1" w:rsidRPr="00D10B4C" w:rsidRDefault="00353FD1" w:rsidP="00095643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2416" w:rsidRPr="004955DB" w14:paraId="14AE030B" w14:textId="77777777" w:rsidTr="00264A59">
        <w:trPr>
          <w:trHeight w:val="303"/>
        </w:trPr>
        <w:tc>
          <w:tcPr>
            <w:tcW w:w="591" w:type="dxa"/>
            <w:vMerge/>
            <w:tcBorders>
              <w:top w:val="nil"/>
            </w:tcBorders>
            <w:textDirection w:val="btLr"/>
          </w:tcPr>
          <w:p w14:paraId="35E82DD4" w14:textId="77777777" w:rsidR="00222416" w:rsidRPr="004955DB" w:rsidRDefault="00222416" w:rsidP="00222416">
            <w:pPr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  <w:tc>
          <w:tcPr>
            <w:tcW w:w="2102" w:type="dxa"/>
            <w:vAlign w:val="center"/>
          </w:tcPr>
          <w:p w14:paraId="6DBC7064" w14:textId="77777777" w:rsidR="00264A59" w:rsidRPr="00264A59" w:rsidRDefault="00222416" w:rsidP="00353FD1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N</w:t>
            </w:r>
            <w:r w:rsidR="00264A59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omination</w:t>
            </w:r>
            <w:r w:rsidR="00353FD1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/</w:t>
            </w:r>
          </w:p>
          <w:p w14:paraId="2732F7B5" w14:textId="13BA50DA" w:rsidR="00222416" w:rsidRPr="00264A59" w:rsidRDefault="00264A59" w:rsidP="00353FD1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z w:val="14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R</w:t>
            </w:r>
            <w:r w:rsidR="00353FD1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émunération</w:t>
            </w:r>
          </w:p>
        </w:tc>
        <w:tc>
          <w:tcPr>
            <w:tcW w:w="7799" w:type="dxa"/>
          </w:tcPr>
          <w:p w14:paraId="42A1C897" w14:textId="5DA42FC7" w:rsidR="00D10B4C" w:rsidRDefault="00D10B4C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Poste</w:t>
            </w:r>
            <w:r w:rsidR="00264A5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de catégorie A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ouvert aux titulaires ou contractuels</w:t>
            </w:r>
          </w:p>
          <w:p w14:paraId="2908AF26" w14:textId="504CA3AA" w:rsidR="004955DB" w:rsidRDefault="00C978CB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</w:rPr>
              <w:t xml:space="preserve">Affectation </w:t>
            </w:r>
            <w:r w:rsidR="001E2772" w:rsidRPr="00D10B4C">
              <w:rPr>
                <w:rFonts w:ascii="Arial" w:eastAsia="Times New Roman" w:hAnsi="Arial" w:cs="Arial"/>
                <w:sz w:val="20"/>
                <w:szCs w:val="20"/>
              </w:rPr>
              <w:t>à l’année</w:t>
            </w:r>
            <w:r w:rsidR="008A600A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, à compter du 1</w:t>
            </w:r>
            <w:r w:rsidR="008A600A" w:rsidRPr="008A600A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="008A600A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  <w:r w:rsidR="005303C8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septembre 2024</w:t>
            </w:r>
          </w:p>
          <w:p w14:paraId="51685EF2" w14:textId="77777777" w:rsidR="00353FD1" w:rsidRPr="00D10B4C" w:rsidRDefault="00353FD1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559E7D" w14:textId="1F82EF52" w:rsidR="00097321" w:rsidRPr="00D10B4C" w:rsidRDefault="00097321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2416" w:rsidRPr="004955DB" w14:paraId="0B71E967" w14:textId="77777777" w:rsidTr="00264A59">
        <w:trPr>
          <w:trHeight w:val="769"/>
        </w:trPr>
        <w:tc>
          <w:tcPr>
            <w:tcW w:w="591" w:type="dxa"/>
            <w:vMerge/>
            <w:tcBorders>
              <w:top w:val="nil"/>
            </w:tcBorders>
            <w:textDirection w:val="btLr"/>
          </w:tcPr>
          <w:p w14:paraId="2442276B" w14:textId="77777777" w:rsidR="00222416" w:rsidRPr="004955DB" w:rsidRDefault="00222416" w:rsidP="00222416">
            <w:pPr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  <w:tc>
          <w:tcPr>
            <w:tcW w:w="2102" w:type="dxa"/>
            <w:vAlign w:val="center"/>
          </w:tcPr>
          <w:p w14:paraId="18EEF1C4" w14:textId="77777777" w:rsidR="00222416" w:rsidRPr="00264A59" w:rsidRDefault="00222416" w:rsidP="00222416">
            <w:pPr>
              <w:pStyle w:val="TableParagraph"/>
              <w:spacing w:before="5"/>
              <w:jc w:val="center"/>
              <w:rPr>
                <w:rFonts w:ascii="Arial" w:hAnsi="Arial" w:cs="Arial"/>
                <w:smallCaps/>
                <w:sz w:val="12"/>
                <w:lang w:val="fr-FR"/>
              </w:rPr>
            </w:pPr>
          </w:p>
          <w:p w14:paraId="21BDA108" w14:textId="04744418" w:rsidR="00222416" w:rsidRPr="00264A59" w:rsidRDefault="00264A59" w:rsidP="00222416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z w:val="14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Modalités de candidature</w:t>
            </w:r>
          </w:p>
        </w:tc>
        <w:tc>
          <w:tcPr>
            <w:tcW w:w="7799" w:type="dxa"/>
          </w:tcPr>
          <w:p w14:paraId="190FF92A" w14:textId="47BFE3C9" w:rsidR="00222416" w:rsidRPr="00D10B4C" w:rsidRDefault="0022241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</w:rPr>
              <w:t>Les dossiers de candidature, constitués d'un CV, d'une lettre de motivation, de la copie du dernier arrêté de promotion ou de nomination, doivent parvenir par la voie hiérarchique</w:t>
            </w:r>
            <w:r w:rsidR="00C978CB" w:rsidRPr="00D10B4C">
              <w:rPr>
                <w:rFonts w:ascii="Arial" w:eastAsia="Times New Roman" w:hAnsi="Arial" w:cs="Arial"/>
                <w:sz w:val="20"/>
                <w:szCs w:val="20"/>
              </w:rPr>
              <w:t>, uniquement par voie électronique à l’adresse</w:t>
            </w:r>
            <w:hyperlink r:id="rId6" w:history="1">
              <w:r w:rsidR="00054000" w:rsidRPr="004F28AC">
                <w:rPr>
                  <w:rStyle w:val="Lienhypertexte"/>
                  <w:lang w:val="fr-FR"/>
                </w:rPr>
                <w:t xml:space="preserve"> </w:t>
              </w:r>
              <w:r w:rsidR="00054000" w:rsidRPr="004F28AC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recrutement-drh@ac-guyane.fr</w:t>
              </w:r>
            </w:hyperlink>
            <w:r w:rsidR="00353FD1">
              <w:rPr>
                <w:rFonts w:eastAsia="Times New Roman"/>
                <w:sz w:val="20"/>
                <w:szCs w:val="20"/>
                <w:lang w:val="fr-FR"/>
              </w:rPr>
              <w:t xml:space="preserve">, </w:t>
            </w:r>
            <w:r w:rsidR="00C978CB" w:rsidRPr="00D10B4C">
              <w:rPr>
                <w:rFonts w:ascii="Arial" w:eastAsia="Times New Roman" w:hAnsi="Arial" w:cs="Arial"/>
                <w:sz w:val="20"/>
                <w:szCs w:val="20"/>
              </w:rPr>
              <w:t xml:space="preserve">au plus tard le </w:t>
            </w:r>
            <w:r w:rsidR="005303C8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1</w:t>
            </w:r>
            <w:r w:rsidR="00326378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7</w:t>
            </w:r>
            <w:r w:rsidR="005303C8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juin 2024</w:t>
            </w:r>
            <w:r w:rsidR="00C978CB" w:rsidRPr="00D10B4C">
              <w:rPr>
                <w:rFonts w:ascii="Arial" w:eastAsia="Times New Roman" w:hAnsi="Arial" w:cs="Arial"/>
                <w:sz w:val="20"/>
                <w:szCs w:val="20"/>
              </w:rPr>
              <w:t>, délai de rigueur</w:t>
            </w:r>
          </w:p>
          <w:p w14:paraId="2368EDA7" w14:textId="291AC0E5" w:rsidR="00222416" w:rsidRPr="001779C0" w:rsidRDefault="00962F36" w:rsidP="001779C0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</w:rPr>
              <w:t>Entretien avec une commission de recrutement</w:t>
            </w:r>
          </w:p>
        </w:tc>
      </w:tr>
    </w:tbl>
    <w:p w14:paraId="02F9E4F2" w14:textId="43590823" w:rsidR="0040441E" w:rsidRPr="001779C0" w:rsidRDefault="0040441E" w:rsidP="001779C0">
      <w:pPr>
        <w:widowControl/>
        <w:autoSpaceDE/>
        <w:autoSpaceDN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0441E" w:rsidRPr="001779C0" w:rsidSect="001779C0">
      <w:pgSz w:w="11906" w:h="16838" w:code="9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3233"/>
    <w:multiLevelType w:val="hybridMultilevel"/>
    <w:tmpl w:val="24C4B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38B5"/>
    <w:multiLevelType w:val="hybridMultilevel"/>
    <w:tmpl w:val="609CDEB2"/>
    <w:lvl w:ilvl="0" w:tplc="0FD6031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0251"/>
    <w:multiLevelType w:val="multilevel"/>
    <w:tmpl w:val="2334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D1E4B"/>
    <w:multiLevelType w:val="hybridMultilevel"/>
    <w:tmpl w:val="A0CA06CA"/>
    <w:lvl w:ilvl="0" w:tplc="E18EA0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6C31"/>
    <w:multiLevelType w:val="hybridMultilevel"/>
    <w:tmpl w:val="A970BF40"/>
    <w:lvl w:ilvl="0" w:tplc="9C82D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8D9"/>
    <w:multiLevelType w:val="hybridMultilevel"/>
    <w:tmpl w:val="A754DC6A"/>
    <w:lvl w:ilvl="0" w:tplc="74D8EC14">
      <w:numFmt w:val="bullet"/>
      <w:lvlText w:val=""/>
      <w:lvlJc w:val="left"/>
      <w:pPr>
        <w:ind w:left="1111" w:hanging="360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5588BB70">
      <w:numFmt w:val="bullet"/>
      <w:lvlText w:val="•"/>
      <w:lvlJc w:val="left"/>
      <w:pPr>
        <w:ind w:left="1786" w:hanging="360"/>
      </w:pPr>
      <w:rPr>
        <w:rFonts w:hint="default"/>
        <w:lang w:val="fr-FR" w:eastAsia="en-US" w:bidi="ar-SA"/>
      </w:rPr>
    </w:lvl>
    <w:lvl w:ilvl="2" w:tplc="2716BE20">
      <w:numFmt w:val="bullet"/>
      <w:lvlText w:val="•"/>
      <w:lvlJc w:val="left"/>
      <w:pPr>
        <w:ind w:left="2453" w:hanging="360"/>
      </w:pPr>
      <w:rPr>
        <w:rFonts w:hint="default"/>
        <w:lang w:val="fr-FR" w:eastAsia="en-US" w:bidi="ar-SA"/>
      </w:rPr>
    </w:lvl>
    <w:lvl w:ilvl="3" w:tplc="4D285E0E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4" w:tplc="99DE61BC">
      <w:numFmt w:val="bullet"/>
      <w:lvlText w:val="•"/>
      <w:lvlJc w:val="left"/>
      <w:pPr>
        <w:ind w:left="3787" w:hanging="360"/>
      </w:pPr>
      <w:rPr>
        <w:rFonts w:hint="default"/>
        <w:lang w:val="fr-FR" w:eastAsia="en-US" w:bidi="ar-SA"/>
      </w:rPr>
    </w:lvl>
    <w:lvl w:ilvl="5" w:tplc="E042DE7C">
      <w:numFmt w:val="bullet"/>
      <w:lvlText w:val="•"/>
      <w:lvlJc w:val="left"/>
      <w:pPr>
        <w:ind w:left="4454" w:hanging="360"/>
      </w:pPr>
      <w:rPr>
        <w:rFonts w:hint="default"/>
        <w:lang w:val="fr-FR" w:eastAsia="en-US" w:bidi="ar-SA"/>
      </w:rPr>
    </w:lvl>
    <w:lvl w:ilvl="6" w:tplc="E572C99E">
      <w:numFmt w:val="bullet"/>
      <w:lvlText w:val="•"/>
      <w:lvlJc w:val="left"/>
      <w:pPr>
        <w:ind w:left="5121" w:hanging="360"/>
      </w:pPr>
      <w:rPr>
        <w:rFonts w:hint="default"/>
        <w:lang w:val="fr-FR" w:eastAsia="en-US" w:bidi="ar-SA"/>
      </w:rPr>
    </w:lvl>
    <w:lvl w:ilvl="7" w:tplc="6BDC718C">
      <w:numFmt w:val="bullet"/>
      <w:lvlText w:val="•"/>
      <w:lvlJc w:val="left"/>
      <w:pPr>
        <w:ind w:left="5788" w:hanging="360"/>
      </w:pPr>
      <w:rPr>
        <w:rFonts w:hint="default"/>
        <w:lang w:val="fr-FR" w:eastAsia="en-US" w:bidi="ar-SA"/>
      </w:rPr>
    </w:lvl>
    <w:lvl w:ilvl="8" w:tplc="61BAA356">
      <w:numFmt w:val="bullet"/>
      <w:lvlText w:val="•"/>
      <w:lvlJc w:val="left"/>
      <w:pPr>
        <w:ind w:left="6455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7F57CC2"/>
    <w:multiLevelType w:val="multilevel"/>
    <w:tmpl w:val="0A64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4518C"/>
    <w:multiLevelType w:val="hybridMultilevel"/>
    <w:tmpl w:val="877E6782"/>
    <w:lvl w:ilvl="0" w:tplc="9F0E80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A05FB"/>
    <w:multiLevelType w:val="hybridMultilevel"/>
    <w:tmpl w:val="6222512A"/>
    <w:lvl w:ilvl="0" w:tplc="1740791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A520400C">
      <w:numFmt w:val="bullet"/>
      <w:lvlText w:val="•"/>
      <w:lvlJc w:val="left"/>
      <w:pPr>
        <w:ind w:left="1516" w:hanging="361"/>
      </w:pPr>
      <w:rPr>
        <w:rFonts w:hint="default"/>
        <w:lang w:val="fr-FR" w:eastAsia="en-US" w:bidi="ar-SA"/>
      </w:rPr>
    </w:lvl>
    <w:lvl w:ilvl="2" w:tplc="73E8F712">
      <w:numFmt w:val="bullet"/>
      <w:lvlText w:val="•"/>
      <w:lvlJc w:val="left"/>
      <w:pPr>
        <w:ind w:left="2213" w:hanging="361"/>
      </w:pPr>
      <w:rPr>
        <w:rFonts w:hint="default"/>
        <w:lang w:val="fr-FR" w:eastAsia="en-US" w:bidi="ar-SA"/>
      </w:rPr>
    </w:lvl>
    <w:lvl w:ilvl="3" w:tplc="F68ACEDC">
      <w:numFmt w:val="bullet"/>
      <w:lvlText w:val="•"/>
      <w:lvlJc w:val="left"/>
      <w:pPr>
        <w:ind w:left="2910" w:hanging="361"/>
      </w:pPr>
      <w:rPr>
        <w:rFonts w:hint="default"/>
        <w:lang w:val="fr-FR" w:eastAsia="en-US" w:bidi="ar-SA"/>
      </w:rPr>
    </w:lvl>
    <w:lvl w:ilvl="4" w:tplc="5D469E42">
      <w:numFmt w:val="bullet"/>
      <w:lvlText w:val="•"/>
      <w:lvlJc w:val="left"/>
      <w:pPr>
        <w:ind w:left="3607" w:hanging="361"/>
      </w:pPr>
      <w:rPr>
        <w:rFonts w:hint="default"/>
        <w:lang w:val="fr-FR" w:eastAsia="en-US" w:bidi="ar-SA"/>
      </w:rPr>
    </w:lvl>
    <w:lvl w:ilvl="5" w:tplc="E662C560">
      <w:numFmt w:val="bullet"/>
      <w:lvlText w:val="•"/>
      <w:lvlJc w:val="left"/>
      <w:pPr>
        <w:ind w:left="4304" w:hanging="361"/>
      </w:pPr>
      <w:rPr>
        <w:rFonts w:hint="default"/>
        <w:lang w:val="fr-FR" w:eastAsia="en-US" w:bidi="ar-SA"/>
      </w:rPr>
    </w:lvl>
    <w:lvl w:ilvl="6" w:tplc="6C7A1584">
      <w:numFmt w:val="bullet"/>
      <w:lvlText w:val="•"/>
      <w:lvlJc w:val="left"/>
      <w:pPr>
        <w:ind w:left="5001" w:hanging="361"/>
      </w:pPr>
      <w:rPr>
        <w:rFonts w:hint="default"/>
        <w:lang w:val="fr-FR" w:eastAsia="en-US" w:bidi="ar-SA"/>
      </w:rPr>
    </w:lvl>
    <w:lvl w:ilvl="7" w:tplc="BD167480">
      <w:numFmt w:val="bullet"/>
      <w:lvlText w:val="•"/>
      <w:lvlJc w:val="left"/>
      <w:pPr>
        <w:ind w:left="5698" w:hanging="361"/>
      </w:pPr>
      <w:rPr>
        <w:rFonts w:hint="default"/>
        <w:lang w:val="fr-FR" w:eastAsia="en-US" w:bidi="ar-SA"/>
      </w:rPr>
    </w:lvl>
    <w:lvl w:ilvl="8" w:tplc="ADD8C978">
      <w:numFmt w:val="bullet"/>
      <w:lvlText w:val="•"/>
      <w:lvlJc w:val="left"/>
      <w:pPr>
        <w:ind w:left="6395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5B161ABC"/>
    <w:multiLevelType w:val="multilevel"/>
    <w:tmpl w:val="8918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E1074"/>
    <w:multiLevelType w:val="hybridMultilevel"/>
    <w:tmpl w:val="A88C6C1E"/>
    <w:lvl w:ilvl="0" w:tplc="9C82D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93125"/>
    <w:multiLevelType w:val="hybridMultilevel"/>
    <w:tmpl w:val="061CD4F0"/>
    <w:lvl w:ilvl="0" w:tplc="97EA7FC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C5725622">
      <w:numFmt w:val="bullet"/>
      <w:lvlText w:val="•"/>
      <w:lvlJc w:val="left"/>
      <w:pPr>
        <w:ind w:left="1516" w:hanging="361"/>
      </w:pPr>
      <w:rPr>
        <w:rFonts w:hint="default"/>
        <w:lang w:val="fr-FR" w:eastAsia="en-US" w:bidi="ar-SA"/>
      </w:rPr>
    </w:lvl>
    <w:lvl w:ilvl="2" w:tplc="CFCA36F4">
      <w:numFmt w:val="bullet"/>
      <w:lvlText w:val="•"/>
      <w:lvlJc w:val="left"/>
      <w:pPr>
        <w:ind w:left="2213" w:hanging="361"/>
      </w:pPr>
      <w:rPr>
        <w:rFonts w:hint="default"/>
        <w:lang w:val="fr-FR" w:eastAsia="en-US" w:bidi="ar-SA"/>
      </w:rPr>
    </w:lvl>
    <w:lvl w:ilvl="3" w:tplc="B6625754">
      <w:numFmt w:val="bullet"/>
      <w:lvlText w:val="•"/>
      <w:lvlJc w:val="left"/>
      <w:pPr>
        <w:ind w:left="2910" w:hanging="361"/>
      </w:pPr>
      <w:rPr>
        <w:rFonts w:hint="default"/>
        <w:lang w:val="fr-FR" w:eastAsia="en-US" w:bidi="ar-SA"/>
      </w:rPr>
    </w:lvl>
    <w:lvl w:ilvl="4" w:tplc="9DBE0BDA">
      <w:numFmt w:val="bullet"/>
      <w:lvlText w:val="•"/>
      <w:lvlJc w:val="left"/>
      <w:pPr>
        <w:ind w:left="3607" w:hanging="361"/>
      </w:pPr>
      <w:rPr>
        <w:rFonts w:hint="default"/>
        <w:lang w:val="fr-FR" w:eastAsia="en-US" w:bidi="ar-SA"/>
      </w:rPr>
    </w:lvl>
    <w:lvl w:ilvl="5" w:tplc="FFA64C5E">
      <w:numFmt w:val="bullet"/>
      <w:lvlText w:val="•"/>
      <w:lvlJc w:val="left"/>
      <w:pPr>
        <w:ind w:left="4304" w:hanging="361"/>
      </w:pPr>
      <w:rPr>
        <w:rFonts w:hint="default"/>
        <w:lang w:val="fr-FR" w:eastAsia="en-US" w:bidi="ar-SA"/>
      </w:rPr>
    </w:lvl>
    <w:lvl w:ilvl="6" w:tplc="35F08E52">
      <w:numFmt w:val="bullet"/>
      <w:lvlText w:val="•"/>
      <w:lvlJc w:val="left"/>
      <w:pPr>
        <w:ind w:left="5001" w:hanging="361"/>
      </w:pPr>
      <w:rPr>
        <w:rFonts w:hint="default"/>
        <w:lang w:val="fr-FR" w:eastAsia="en-US" w:bidi="ar-SA"/>
      </w:rPr>
    </w:lvl>
    <w:lvl w:ilvl="7" w:tplc="7D0E0B86">
      <w:numFmt w:val="bullet"/>
      <w:lvlText w:val="•"/>
      <w:lvlJc w:val="left"/>
      <w:pPr>
        <w:ind w:left="5698" w:hanging="361"/>
      </w:pPr>
      <w:rPr>
        <w:rFonts w:hint="default"/>
        <w:lang w:val="fr-FR" w:eastAsia="en-US" w:bidi="ar-SA"/>
      </w:rPr>
    </w:lvl>
    <w:lvl w:ilvl="8" w:tplc="6DD61936">
      <w:numFmt w:val="bullet"/>
      <w:lvlText w:val="•"/>
      <w:lvlJc w:val="left"/>
      <w:pPr>
        <w:ind w:left="6395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76E3332B"/>
    <w:multiLevelType w:val="multilevel"/>
    <w:tmpl w:val="77E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A06A0"/>
    <w:multiLevelType w:val="hybridMultilevel"/>
    <w:tmpl w:val="B48CEBA6"/>
    <w:lvl w:ilvl="0" w:tplc="03843382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777C2D74">
      <w:numFmt w:val="bullet"/>
      <w:lvlText w:val="•"/>
      <w:lvlJc w:val="left"/>
      <w:pPr>
        <w:ind w:left="1534" w:hanging="361"/>
      </w:pPr>
      <w:rPr>
        <w:rFonts w:hint="default"/>
        <w:lang w:val="fr-FR" w:eastAsia="en-US" w:bidi="ar-SA"/>
      </w:rPr>
    </w:lvl>
    <w:lvl w:ilvl="2" w:tplc="2A94C994">
      <w:numFmt w:val="bullet"/>
      <w:lvlText w:val="•"/>
      <w:lvlJc w:val="left"/>
      <w:pPr>
        <w:ind w:left="2229" w:hanging="361"/>
      </w:pPr>
      <w:rPr>
        <w:rFonts w:hint="default"/>
        <w:lang w:val="fr-FR" w:eastAsia="en-US" w:bidi="ar-SA"/>
      </w:rPr>
    </w:lvl>
    <w:lvl w:ilvl="3" w:tplc="DA64AA32">
      <w:numFmt w:val="bullet"/>
      <w:lvlText w:val="•"/>
      <w:lvlJc w:val="left"/>
      <w:pPr>
        <w:ind w:left="2924" w:hanging="361"/>
      </w:pPr>
      <w:rPr>
        <w:rFonts w:hint="default"/>
        <w:lang w:val="fr-FR" w:eastAsia="en-US" w:bidi="ar-SA"/>
      </w:rPr>
    </w:lvl>
    <w:lvl w:ilvl="4" w:tplc="CB10DCC2">
      <w:numFmt w:val="bullet"/>
      <w:lvlText w:val="•"/>
      <w:lvlJc w:val="left"/>
      <w:pPr>
        <w:ind w:left="3619" w:hanging="361"/>
      </w:pPr>
      <w:rPr>
        <w:rFonts w:hint="default"/>
        <w:lang w:val="fr-FR" w:eastAsia="en-US" w:bidi="ar-SA"/>
      </w:rPr>
    </w:lvl>
    <w:lvl w:ilvl="5" w:tplc="B9F6A426">
      <w:numFmt w:val="bullet"/>
      <w:lvlText w:val="•"/>
      <w:lvlJc w:val="left"/>
      <w:pPr>
        <w:ind w:left="4314" w:hanging="361"/>
      </w:pPr>
      <w:rPr>
        <w:rFonts w:hint="default"/>
        <w:lang w:val="fr-FR" w:eastAsia="en-US" w:bidi="ar-SA"/>
      </w:rPr>
    </w:lvl>
    <w:lvl w:ilvl="6" w:tplc="E5FA24A0">
      <w:numFmt w:val="bullet"/>
      <w:lvlText w:val="•"/>
      <w:lvlJc w:val="left"/>
      <w:pPr>
        <w:ind w:left="5009" w:hanging="361"/>
      </w:pPr>
      <w:rPr>
        <w:rFonts w:hint="default"/>
        <w:lang w:val="fr-FR" w:eastAsia="en-US" w:bidi="ar-SA"/>
      </w:rPr>
    </w:lvl>
    <w:lvl w:ilvl="7" w:tplc="95742E7C">
      <w:numFmt w:val="bullet"/>
      <w:lvlText w:val="•"/>
      <w:lvlJc w:val="left"/>
      <w:pPr>
        <w:ind w:left="5704" w:hanging="361"/>
      </w:pPr>
      <w:rPr>
        <w:rFonts w:hint="default"/>
        <w:lang w:val="fr-FR" w:eastAsia="en-US" w:bidi="ar-SA"/>
      </w:rPr>
    </w:lvl>
    <w:lvl w:ilvl="8" w:tplc="98521452">
      <w:numFmt w:val="bullet"/>
      <w:lvlText w:val="•"/>
      <w:lvlJc w:val="left"/>
      <w:pPr>
        <w:ind w:left="6399" w:hanging="361"/>
      </w:pPr>
      <w:rPr>
        <w:rFonts w:hint="default"/>
        <w:lang w:val="fr-FR" w:eastAsia="en-US" w:bidi="ar-SA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3F"/>
    <w:rsid w:val="000459C6"/>
    <w:rsid w:val="00054000"/>
    <w:rsid w:val="00073A7F"/>
    <w:rsid w:val="00077FA5"/>
    <w:rsid w:val="00095643"/>
    <w:rsid w:val="00097321"/>
    <w:rsid w:val="00140D13"/>
    <w:rsid w:val="001779C0"/>
    <w:rsid w:val="001A6846"/>
    <w:rsid w:val="001E2772"/>
    <w:rsid w:val="001E6D06"/>
    <w:rsid w:val="00222416"/>
    <w:rsid w:val="00232052"/>
    <w:rsid w:val="00264A59"/>
    <w:rsid w:val="00326378"/>
    <w:rsid w:val="00353FD1"/>
    <w:rsid w:val="00387C32"/>
    <w:rsid w:val="0040441E"/>
    <w:rsid w:val="004955DB"/>
    <w:rsid w:val="005303C8"/>
    <w:rsid w:val="0066262E"/>
    <w:rsid w:val="00671750"/>
    <w:rsid w:val="00727575"/>
    <w:rsid w:val="00751725"/>
    <w:rsid w:val="008A600A"/>
    <w:rsid w:val="008E0880"/>
    <w:rsid w:val="00962F36"/>
    <w:rsid w:val="00A04D76"/>
    <w:rsid w:val="00B50622"/>
    <w:rsid w:val="00BA5F40"/>
    <w:rsid w:val="00C978CB"/>
    <w:rsid w:val="00D10B4C"/>
    <w:rsid w:val="00D4742C"/>
    <w:rsid w:val="00DA26F0"/>
    <w:rsid w:val="00E34EC9"/>
    <w:rsid w:val="00EA34A3"/>
    <w:rsid w:val="00EB7A03"/>
    <w:rsid w:val="00EC6A92"/>
    <w:rsid w:val="00F24044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4C3"/>
  <w15:docId w15:val="{A73FA8F5-ED68-4FF0-A7B7-FB6210DB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3F"/>
    <w:pPr>
      <w:widowControl w:val="0"/>
      <w:autoSpaceDE w:val="0"/>
      <w:autoSpaceDN w:val="0"/>
      <w:spacing w:after="120" w:line="276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6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563F"/>
  </w:style>
  <w:style w:type="paragraph" w:styleId="NormalWeb">
    <w:name w:val="Normal (Web)"/>
    <w:basedOn w:val="Normal"/>
    <w:uiPriority w:val="99"/>
    <w:unhideWhenUsed/>
    <w:rsid w:val="00EC6A92"/>
    <w:pPr>
      <w:widowControl/>
      <w:autoSpaceDE/>
      <w:autoSpaceDN/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224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78C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978C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6262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04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recrutement-drh@ac-guyan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BF06-3CC2-4B8A-9F59-3D55110E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cmelon</dc:creator>
  <cp:lastModifiedBy>Sabine Roue</cp:lastModifiedBy>
  <cp:revision>3</cp:revision>
  <cp:lastPrinted>2024-04-23T15:19:00Z</cp:lastPrinted>
  <dcterms:created xsi:type="dcterms:W3CDTF">2024-05-27T12:35:00Z</dcterms:created>
  <dcterms:modified xsi:type="dcterms:W3CDTF">2024-05-27T12:39:00Z</dcterms:modified>
</cp:coreProperties>
</file>