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C2BB" w14:textId="77777777" w:rsidR="00FF7069" w:rsidRDefault="00B230B0" w:rsidP="00FF706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6C5ED" wp14:editId="25A3DB15">
                <wp:simplePos x="0" y="0"/>
                <wp:positionH relativeFrom="column">
                  <wp:posOffset>1083945</wp:posOffset>
                </wp:positionH>
                <wp:positionV relativeFrom="paragraph">
                  <wp:posOffset>-1253131</wp:posOffset>
                </wp:positionV>
                <wp:extent cx="3909392" cy="12192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392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72AF2" w14:textId="77777777" w:rsidR="00B230B0" w:rsidRPr="00644813" w:rsidRDefault="00B230B0" w:rsidP="00B230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4481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BTS SP3S – Session 2024</w:t>
                            </w:r>
                          </w:p>
                          <w:p w14:paraId="5AD785AA" w14:textId="77777777" w:rsidR="00B230B0" w:rsidRPr="00644813" w:rsidRDefault="00B230B0" w:rsidP="00B230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2FBF6D" w14:textId="77777777" w:rsidR="00EB7023" w:rsidRPr="00644813" w:rsidRDefault="00EB7023" w:rsidP="00EB702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4481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ANNEXE 12- FICHE D’EVALUATION ENGAGEMENT ETUDIANT</w:t>
                            </w:r>
                          </w:p>
                          <w:p w14:paraId="57CF64F4" w14:textId="77777777" w:rsidR="00B230B0" w:rsidRPr="00B230B0" w:rsidRDefault="00B230B0" w:rsidP="00B230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85.35pt;margin-top:-98.65pt;width:307.8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2ARwIAAH8EAAAOAAAAZHJzL2Uyb0RvYy54bWysVFFv2jAQfp+0/2D5fSQB2o2IUDEqpkmo&#10;rUSnSnszjkMsOT7PNiTs1+/sBMq6PU17cc6+8+e777vL/K5rFDkK6yTogmajlBKhOZRS7wv67Xn9&#10;4RMlzjNdMgVaFPQkHL1bvH83b00uxlCDKoUlCKJd3pqC1t6bPEkcr0XD3AiM0OiswDbM49buk9Ky&#10;FtEblYzT9DZpwZbGAhfO4el976SLiF9VgvvHqnLCE1VQzM3H1cZ1F9ZkMWf53jJTSz6kwf4hi4ZJ&#10;jY9eoO6ZZ+Rg5R9QjeQWHFR+xKFJoKokF7EGrCZL31SzrZkRsRYkx5kLTe7/wfKH45MlsizohBLN&#10;GpToOwpFSkG86Lwgk0BRa1yOkVuDsb77DB1KfT53eBgq7yrbhC/WRNCPZJ8uBCMS4Xg4maWzyWxM&#10;CUdfNs5mKGHASV6vG+v8FwENCUZBLSoYiWXHjfN96DkkvOZAyXItlYqb0DVipSw5MtRb+Zgkgv8W&#10;pTRpC3o7uUkjsIZwvUdWGnMJxfZFBct3u25gYAflCQmw0HeRM3wtMckNc/6JWWwbrBlHwT/iUinA&#10;R2CwKKnB/vzbeYhHNdFLSYttWFD348CsoER91ajzLJtOQ9/GzfTm4xg39tqzu/boQ7MCrDzDoTM8&#10;miHeq7NZWWhecGKW4VV0Mc3x7YL6s7ny/XDgxHGxXMYg7FTD/EZvDQ/QgekgwXP3wqwZdArN8gDn&#10;hmX5G7n62HBTw/LgoZJRy0Bwz+rAO3Z57IZhIsMYXe9j1Ot/Y/ELAAD//wMAUEsDBBQABgAIAAAA&#10;IQBwg6wr4gAAAAsBAAAPAAAAZHJzL2Rvd25yZXYueG1sTI/BTsMwDIbvSLxDZCQuaEtH2TpK0wkh&#10;YBK3rQPELWtMW9E4VZO15e0xJzj+9qffn7PNZFsxYO8bRwoW8wgEUulMQ5WCQ/E0W4PwQZPRrSNU&#10;8I0eNvn5WaZT40ba4bAPleAS8qlWUIfQpVL6skar/dx1SLz7dL3VgWNfSdPrkcttK6+jaCWtbogv&#10;1LrDhxrLr/3JKvi4qt5f/PT8OsbLuHvcDkXyZgqlLi+m+zsQAafwB8OvPqtDzk5HdyLjRcs5iRJG&#10;FcwWt0kMgpFkvboBceTRMgaZZ/L/D/kPAAAA//8DAFBLAQItABQABgAIAAAAIQC2gziS/gAAAOEB&#10;AAATAAAAAAAAAAAAAAAAAAAAAABbQ29udGVudF9UeXBlc10ueG1sUEsBAi0AFAAGAAgAAAAhADj9&#10;If/WAAAAlAEAAAsAAAAAAAAAAAAAAAAALwEAAF9yZWxzLy5yZWxzUEsBAi0AFAAGAAgAAAAhAA+r&#10;LYBHAgAAfwQAAA4AAAAAAAAAAAAAAAAALgIAAGRycy9lMm9Eb2MueG1sUEsBAi0AFAAGAAgAAAAh&#10;AHCDrCviAAAACwEAAA8AAAAAAAAAAAAAAAAAoQQAAGRycy9kb3ducmV2LnhtbFBLBQYAAAAABAAE&#10;APMAAACwBQAAAAA=&#10;" fillcolor="white [3201]" stroked="f" strokeweight=".5pt">
                <v:textbox>
                  <w:txbxContent>
                    <w:p w:rsidR="00B230B0" w:rsidRPr="00644813" w:rsidRDefault="00B230B0" w:rsidP="00B230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44813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BTS SP3S – Session 2024</w:t>
                      </w:r>
                    </w:p>
                    <w:p w:rsidR="00B230B0" w:rsidRPr="00644813" w:rsidRDefault="00B230B0" w:rsidP="00B230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EB7023" w:rsidRPr="00644813" w:rsidRDefault="00EB7023" w:rsidP="00EB702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44813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ANNEXE 12- FICHE D’EVALUATION ENGAGEMENT ETUDIANT</w:t>
                      </w:r>
                    </w:p>
                    <w:p w:rsidR="00B230B0" w:rsidRPr="00B230B0" w:rsidRDefault="00B230B0" w:rsidP="00B230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22C37" w14:textId="77777777" w:rsidR="00062382" w:rsidRPr="00062382" w:rsidRDefault="00062382" w:rsidP="00062382">
      <w:pPr>
        <w:spacing w:after="160" w:line="259" w:lineRule="auto"/>
        <w:rPr>
          <w:rFonts w:cs="Arial"/>
          <w:sz w:val="20"/>
          <w:szCs w:val="20"/>
          <w:lang w:eastAsia="zh-CN"/>
        </w:rPr>
      </w:pPr>
      <w:r w:rsidRPr="00062382">
        <w:rPr>
          <w:rFonts w:asciiTheme="minorHAnsi" w:hAnsiTheme="minorHAnsi" w:cstheme="minorBidi"/>
          <w:b/>
        </w:rPr>
        <w:t>ÉVALUATION DES COMPÉTENCES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693"/>
        <w:gridCol w:w="3969"/>
      </w:tblGrid>
      <w:tr w:rsidR="00062382" w:rsidRPr="00062382" w14:paraId="79B2B9F5" w14:textId="77777777" w:rsidTr="00062382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7213B" w14:textId="77777777" w:rsidR="00062382" w:rsidRPr="00062382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062382">
              <w:rPr>
                <w:rFonts w:asciiTheme="minorHAnsi" w:hAnsiTheme="minorHAnsi" w:cstheme="minorBidi"/>
                <w:b/>
                <w:i/>
                <w:sz w:val="24"/>
                <w:szCs w:val="18"/>
              </w:rPr>
              <w:t>DEGRÉ DE MAÎTRISE DES COMPÉTENCES</w:t>
            </w:r>
          </w:p>
        </w:tc>
      </w:tr>
      <w:tr w:rsidR="00062382" w:rsidRPr="00062382" w14:paraId="2194A0CA" w14:textId="77777777" w:rsidTr="000623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4F100" w14:textId="77777777" w:rsidR="00062382" w:rsidRPr="00062382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i/>
                <w:sz w:val="24"/>
                <w:szCs w:val="18"/>
              </w:rPr>
            </w:pPr>
            <w:r w:rsidRPr="00062382">
              <w:rPr>
                <w:rFonts w:asciiTheme="minorHAnsi" w:hAnsiTheme="minorHAnsi" w:cstheme="minorBidi"/>
                <w:b/>
                <w:i/>
                <w:sz w:val="24"/>
                <w:szCs w:val="18"/>
              </w:rPr>
              <w:t>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76B9" w14:textId="77777777" w:rsidR="00062382" w:rsidRPr="00062382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i/>
                <w:sz w:val="24"/>
                <w:szCs w:val="18"/>
              </w:rPr>
            </w:pPr>
            <w:r w:rsidRPr="00062382">
              <w:rPr>
                <w:rFonts w:asciiTheme="minorHAnsi" w:hAnsiTheme="minorHAnsi" w:cstheme="minorBidi"/>
                <w:b/>
                <w:i/>
                <w:sz w:val="24"/>
                <w:szCs w:val="18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7C5D" w14:textId="77777777" w:rsidR="00062382" w:rsidRPr="00062382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i/>
                <w:sz w:val="24"/>
                <w:szCs w:val="18"/>
              </w:rPr>
            </w:pPr>
            <w:r w:rsidRPr="00062382">
              <w:rPr>
                <w:rFonts w:asciiTheme="minorHAnsi" w:hAnsiTheme="minorHAnsi" w:cstheme="minorBidi"/>
                <w:b/>
                <w:i/>
                <w:sz w:val="24"/>
                <w:szCs w:val="18"/>
              </w:rPr>
              <w:t>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8B780" w14:textId="77777777" w:rsidR="00062382" w:rsidRPr="00062382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062382">
              <w:rPr>
                <w:rFonts w:asciiTheme="minorHAnsi" w:hAnsiTheme="minorHAnsi" w:cstheme="minorBidi"/>
                <w:b/>
                <w:i/>
                <w:sz w:val="24"/>
                <w:szCs w:val="18"/>
              </w:rPr>
              <w:t>TS</w:t>
            </w:r>
          </w:p>
        </w:tc>
      </w:tr>
      <w:tr w:rsidR="00062382" w:rsidRPr="00062382" w14:paraId="056C26C8" w14:textId="77777777" w:rsidTr="000623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91F73" w14:textId="77777777" w:rsidR="00062382" w:rsidRPr="00062382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i/>
                <w:sz w:val="24"/>
                <w:szCs w:val="18"/>
              </w:rPr>
            </w:pPr>
            <w:r w:rsidRPr="00062382">
              <w:rPr>
                <w:rFonts w:asciiTheme="minorHAnsi" w:hAnsiTheme="minorHAnsi" w:cstheme="minorBidi"/>
                <w:b/>
                <w:i/>
                <w:sz w:val="24"/>
                <w:szCs w:val="18"/>
              </w:rPr>
              <w:t>Subit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87636" w14:textId="77777777" w:rsidR="00062382" w:rsidRPr="00062382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i/>
                <w:sz w:val="24"/>
                <w:szCs w:val="18"/>
              </w:rPr>
            </w:pPr>
            <w:r w:rsidRPr="00062382">
              <w:rPr>
                <w:rFonts w:asciiTheme="minorHAnsi" w:hAnsiTheme="minorHAnsi" w:cstheme="minorBidi"/>
                <w:b/>
                <w:i/>
                <w:sz w:val="24"/>
                <w:szCs w:val="18"/>
              </w:rPr>
              <w:t>Exécute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BE3FC" w14:textId="77777777" w:rsidR="00062382" w:rsidRPr="00062382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i/>
                <w:sz w:val="24"/>
                <w:szCs w:val="18"/>
              </w:rPr>
            </w:pPr>
            <w:r w:rsidRPr="00062382">
              <w:rPr>
                <w:rFonts w:asciiTheme="minorHAnsi" w:hAnsiTheme="minorHAnsi" w:cstheme="minorBidi"/>
                <w:b/>
                <w:i/>
                <w:sz w:val="24"/>
                <w:szCs w:val="18"/>
              </w:rPr>
              <w:t>Maîtrise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29BE" w14:textId="77777777" w:rsidR="00062382" w:rsidRPr="00062382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062382">
              <w:rPr>
                <w:rFonts w:asciiTheme="minorHAnsi" w:hAnsiTheme="minorHAnsi" w:cstheme="minorBidi"/>
                <w:b/>
                <w:i/>
                <w:sz w:val="24"/>
                <w:szCs w:val="18"/>
              </w:rPr>
              <w:t>Est expert</w:t>
            </w:r>
          </w:p>
        </w:tc>
      </w:tr>
      <w:tr w:rsidR="00062382" w:rsidRPr="00062382" w14:paraId="45374352" w14:textId="77777777" w:rsidTr="00062382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88872" w14:textId="77777777" w:rsidR="00062382" w:rsidRPr="00062382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00062382">
              <w:rPr>
                <w:rFonts w:asciiTheme="minorHAnsi" w:hAnsiTheme="minorHAnsi" w:cstheme="minorBidi"/>
              </w:rPr>
              <w:t>1 - Qualité de la présentation du contexte de l’engagement</w:t>
            </w:r>
          </w:p>
        </w:tc>
      </w:tr>
      <w:tr w:rsidR="00062382" w:rsidRPr="00062382" w14:paraId="18DE5D1C" w14:textId="77777777" w:rsidTr="00062382">
        <w:trPr>
          <w:cantSplit/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E8CAF" w14:textId="77777777" w:rsidR="00062382" w:rsidRPr="00C61105" w:rsidRDefault="00062382" w:rsidP="00062382">
            <w:pPr>
              <w:spacing w:line="259" w:lineRule="auto"/>
              <w:ind w:left="36" w:hanging="36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Présente une description succincte partielle ou non structurée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804FE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Présente une situation structurée mais sans analyse du rôle de l’organisation dans laquelle l’engagement est effectif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46201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Analyse du contexte en présentant les principales caractéristiques et les missions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0C97C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 xml:space="preserve">Est capable de transférer l’analyse du contexte à d’autres (entreprises, …) </w:t>
            </w:r>
          </w:p>
        </w:tc>
      </w:tr>
      <w:tr w:rsidR="00062382" w:rsidRPr="00062382" w14:paraId="09CB6259" w14:textId="77777777" w:rsidTr="00FB422D">
        <w:trPr>
          <w:cantSplit/>
          <w:trHeight w:val="476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C474" w14:textId="77777777" w:rsidR="00062382" w:rsidRPr="00C61105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2 – Précision de la présentation des actions conduites dans le cadre de l’engagement</w:t>
            </w:r>
          </w:p>
        </w:tc>
      </w:tr>
      <w:tr w:rsidR="00062382" w:rsidRPr="00062382" w14:paraId="4289E1FE" w14:textId="77777777" w:rsidTr="00062382">
        <w:trPr>
          <w:cantSplit/>
          <w:trHeight w:val="5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89964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Se limite à une activité très restreinte du processus et ne comprend pas les enjeux associés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17FD9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Appréhende l’ensemble de l’activité, mais sans en comprendre réellement les enjeux associés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27E9A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Porte un degré d’analyse sur les activités dans le cadre de son engagement en identifiant les contraintes et les enjeux</w:t>
            </w:r>
          </w:p>
          <w:p w14:paraId="47FF9A75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</w:p>
          <w:p w14:paraId="33D56368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4BA6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 xml:space="preserve">Présente une analyse les activités effectuées dans le cadre de son engagement </w:t>
            </w:r>
            <w:r w:rsidR="00FB422D" w:rsidRPr="00C61105">
              <w:rPr>
                <w:rFonts w:asciiTheme="minorHAnsi" w:hAnsiTheme="minorHAnsi" w:cstheme="minorBidi"/>
              </w:rPr>
              <w:t>en intégrant</w:t>
            </w:r>
            <w:r w:rsidRPr="00C61105">
              <w:rPr>
                <w:rFonts w:asciiTheme="minorHAnsi" w:hAnsiTheme="minorHAnsi" w:cstheme="minorBidi"/>
              </w:rPr>
              <w:t xml:space="preserve"> l’identification des contraintes, des enjeux et les limites des choix. Le candidat est en mesure de formuler des propositions argumentées d’amélioration face à des demandes</w:t>
            </w:r>
          </w:p>
        </w:tc>
      </w:tr>
      <w:tr w:rsidR="00062382" w:rsidRPr="00062382" w14:paraId="71B6ABB5" w14:textId="77777777" w:rsidTr="00062382">
        <w:trPr>
          <w:cantSplit/>
          <w:trHeight w:val="327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9A13" w14:textId="77777777" w:rsidR="00062382" w:rsidRPr="00C61105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3 – Réflexivité sur les acquis issus de cet engagement</w:t>
            </w:r>
          </w:p>
        </w:tc>
      </w:tr>
      <w:tr w:rsidR="00062382" w:rsidRPr="00062382" w14:paraId="68642488" w14:textId="77777777" w:rsidTr="00062382">
        <w:trPr>
          <w:cantSplit/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632AC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Ne présente pas d’analyse et ne prend pas de distance par rapport aux activités réalisées.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2A3F6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 xml:space="preserve">Présente une analyse étroite, peu autonome et limitée à une série d’activités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8E60B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Sait expliquer en quoi une activité réalisée dans le cadre de son engagement a permis la construction de compétences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DE707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 xml:space="preserve">Montre le lien entre les activités réalisées dans le cadre de son engagement et développement de ses compétences </w:t>
            </w:r>
          </w:p>
          <w:p w14:paraId="4C049F68" w14:textId="77777777" w:rsidR="00062382" w:rsidRPr="00C61105" w:rsidRDefault="00062382" w:rsidP="00062382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Capacité à apprendre de son expérience à faire lien avec les activités du référentiel du diplôme</w:t>
            </w:r>
          </w:p>
        </w:tc>
      </w:tr>
      <w:tr w:rsidR="00062382" w:rsidRPr="00062382" w14:paraId="29CAEB45" w14:textId="77777777" w:rsidTr="00FB422D">
        <w:trPr>
          <w:cantSplit/>
          <w:trHeight w:val="402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67BF" w14:textId="77777777" w:rsidR="00062382" w:rsidRPr="00C61105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4 – Capacité à démontrer une persévérance, une capacité d’engagement</w:t>
            </w:r>
          </w:p>
        </w:tc>
      </w:tr>
      <w:tr w:rsidR="00062382" w:rsidRPr="00062382" w14:paraId="15D3006E" w14:textId="77777777" w:rsidTr="00062382">
        <w:trPr>
          <w:cantSplit/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08A95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Fait preuve de peu de persévérance, dans des activités peu complexes et routinières.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17222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A su dépasser les difficultés rencontrées et les aléas.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473CB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A su dépasser les difficultés rencontrées dans des situations complexes ou déstabilisantes.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B0CBC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Propose des solutions pour améliorer des démarches.</w:t>
            </w:r>
          </w:p>
          <w:p w14:paraId="7CC467E7" w14:textId="77777777" w:rsidR="00062382" w:rsidRPr="00C61105" w:rsidRDefault="00062382" w:rsidP="000623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t>capacité à résoudre des problèmes</w:t>
            </w:r>
          </w:p>
        </w:tc>
      </w:tr>
      <w:tr w:rsidR="00062382" w:rsidRPr="00062382" w14:paraId="377E7DC5" w14:textId="77777777" w:rsidTr="00062382">
        <w:trPr>
          <w:cantSplit/>
          <w:trHeight w:val="288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4B02" w14:textId="77777777" w:rsidR="00062382" w:rsidRPr="00C61105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00C61105">
              <w:rPr>
                <w:rFonts w:asciiTheme="minorHAnsi" w:hAnsiTheme="minorHAnsi" w:cstheme="minorBidi"/>
              </w:rPr>
              <w:lastRenderedPageBreak/>
              <w:t>5 – Capacité à faire preuve d’engagement vis-à-vis des autres (empathie, adaptabilité interculturelle, intelligence sociale, …)</w:t>
            </w:r>
          </w:p>
        </w:tc>
      </w:tr>
      <w:tr w:rsidR="00062382" w:rsidRPr="00062382" w14:paraId="1C7AC4B0" w14:textId="77777777" w:rsidTr="00FB422D">
        <w:trPr>
          <w:cantSplit/>
          <w:trHeight w:val="19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BB394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00C61105">
              <w:rPr>
                <w:rFonts w:asciiTheme="minorHAnsi" w:hAnsiTheme="minorHAnsi" w:cstheme="minorBidi"/>
                <w:color w:val="000000" w:themeColor="text1"/>
              </w:rPr>
              <w:t>Ne démontre pas un engagement dans des activités variées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4F367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00C61105">
              <w:rPr>
                <w:rFonts w:asciiTheme="minorHAnsi" w:hAnsiTheme="minorHAnsi" w:cstheme="minorBidi"/>
                <w:color w:val="000000" w:themeColor="text1"/>
              </w:rPr>
              <w:t xml:space="preserve">Démontre une capacité </w:t>
            </w:r>
            <w:r w:rsidR="00FB422D" w:rsidRPr="00C61105">
              <w:rPr>
                <w:rFonts w:asciiTheme="minorHAnsi" w:hAnsiTheme="minorHAnsi" w:cstheme="minorBidi"/>
                <w:color w:val="000000" w:themeColor="text1"/>
              </w:rPr>
              <w:t>à présenter</w:t>
            </w:r>
            <w:r w:rsidRPr="00C61105">
              <w:rPr>
                <w:rFonts w:asciiTheme="minorHAnsi" w:hAnsiTheme="minorHAnsi" w:cstheme="minorBidi"/>
                <w:color w:val="000000" w:themeColor="text1"/>
              </w:rPr>
              <w:t xml:space="preserve"> les différences culturelles</w:t>
            </w:r>
          </w:p>
          <w:p w14:paraId="56CAB0ED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24D57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00C61105">
              <w:rPr>
                <w:rFonts w:asciiTheme="minorHAnsi" w:hAnsiTheme="minorHAnsi" w:cstheme="minorBidi"/>
                <w:color w:val="000000" w:themeColor="text1"/>
              </w:rPr>
              <w:t xml:space="preserve">Démontre une capacité à intégrer les différences culturelles dans ses principes d’action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C2E5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00C61105">
              <w:rPr>
                <w:rFonts w:asciiTheme="minorHAnsi" w:hAnsiTheme="minorHAnsi" w:cstheme="minorBidi"/>
                <w:color w:val="000000" w:themeColor="text1"/>
              </w:rPr>
              <w:t>Démontre une intelligence sociale</w:t>
            </w:r>
          </w:p>
          <w:p w14:paraId="537A9F2F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00C61105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  <w:p w14:paraId="2239BFAB" w14:textId="77777777" w:rsidR="00062382" w:rsidRPr="00C6110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062382" w:rsidRPr="00062382" w14:paraId="7FD9A372" w14:textId="77777777" w:rsidTr="00062382">
        <w:trPr>
          <w:cantSplit/>
          <w:trHeight w:val="262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44F1" w14:textId="77777777" w:rsidR="00062382" w:rsidRPr="00062382" w:rsidRDefault="00062382" w:rsidP="00062382">
            <w:pPr>
              <w:spacing w:after="160" w:line="259" w:lineRule="auto"/>
              <w:ind w:left="136" w:hanging="34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062382">
              <w:rPr>
                <w:rFonts w:asciiTheme="minorHAnsi" w:hAnsiTheme="minorHAnsi" w:cstheme="minorBidi"/>
                <w:color w:val="000000" w:themeColor="text1"/>
              </w:rPr>
              <w:t>6 – Capacité d’adaptation à des situations variées, à faire sens</w:t>
            </w:r>
          </w:p>
        </w:tc>
      </w:tr>
      <w:tr w:rsidR="00062382" w:rsidRPr="00062382" w14:paraId="47B55482" w14:textId="77777777" w:rsidTr="00062382">
        <w:trPr>
          <w:cantSplit/>
          <w:trHeight w:val="2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03AB5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009F4765">
              <w:rPr>
                <w:rFonts w:asciiTheme="minorHAnsi" w:hAnsiTheme="minorHAnsi" w:cstheme="minorBidi"/>
                <w:color w:val="000000" w:themeColor="text1"/>
              </w:rPr>
              <w:t xml:space="preserve">Ne présente pas de capacité à prendre en compte ces aspects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919FB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009F4765">
              <w:rPr>
                <w:rFonts w:asciiTheme="minorHAnsi" w:hAnsiTheme="minorHAnsi" w:cstheme="minorBidi"/>
                <w:color w:val="000000" w:themeColor="text1"/>
              </w:rPr>
              <w:t>Démontre une capacité d’adaptation  face à des situations différentes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67F0F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009F4765">
              <w:rPr>
                <w:rFonts w:asciiTheme="minorHAnsi" w:hAnsiTheme="minorHAnsi" w:cstheme="minorBidi"/>
                <w:color w:val="000000" w:themeColor="text1"/>
              </w:rPr>
              <w:t>Sait expliquer en quoi une situation professionnelle a permis la construction de cette compétence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4A39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009F4765">
              <w:rPr>
                <w:rFonts w:asciiTheme="minorHAnsi" w:hAnsiTheme="minorHAnsi" w:cstheme="minorBidi"/>
                <w:color w:val="000000" w:themeColor="text1"/>
              </w:rPr>
              <w:t xml:space="preserve">Montre le lien entre situations rencontrées et développement de ses compétences d’adaptabilité. </w:t>
            </w:r>
            <w:r w:rsidR="00FB422D" w:rsidRPr="009F4765">
              <w:rPr>
                <w:rFonts w:asciiTheme="minorHAnsi" w:hAnsiTheme="minorHAnsi" w:cstheme="minorBidi"/>
                <w:color w:val="000000" w:themeColor="text1"/>
              </w:rPr>
              <w:t>Sait faire</w:t>
            </w:r>
            <w:r w:rsidRPr="009F4765">
              <w:rPr>
                <w:rFonts w:asciiTheme="minorHAnsi" w:hAnsiTheme="minorHAnsi" w:cstheme="minorBidi"/>
                <w:color w:val="000000" w:themeColor="text1"/>
              </w:rPr>
              <w:t xml:space="preserve"> sens dans l’analyse de ces différentes activités</w:t>
            </w:r>
          </w:p>
          <w:p w14:paraId="7B5D5C92" w14:textId="77777777" w:rsidR="00062382" w:rsidRPr="009F4765" w:rsidRDefault="00062382" w:rsidP="00062382">
            <w:pPr>
              <w:spacing w:line="259" w:lineRule="auto"/>
              <w:ind w:left="720"/>
              <w:contextualSpacing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062382" w:rsidRPr="00062382" w14:paraId="1D2517F3" w14:textId="77777777" w:rsidTr="00FB422D">
        <w:trPr>
          <w:cantSplit/>
          <w:trHeight w:val="455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7E8A7" w14:textId="77777777" w:rsidR="00062382" w:rsidRPr="009F4765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7 - Capacité à s’engager dans un collectif</w:t>
            </w:r>
          </w:p>
        </w:tc>
      </w:tr>
      <w:tr w:rsidR="00062382" w:rsidRPr="00062382" w14:paraId="17FDBACF" w14:textId="77777777" w:rsidTr="00062382">
        <w:trPr>
          <w:cantSplit/>
          <w:trHeight w:val="2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4917B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Ne démontre pas de capacité à s’engager dans un collectif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DEB1C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Démontre de capacités à interagir selon des procédures établies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15955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 xml:space="preserve">Démontre une capacité à s’impliquer dans un collectif.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CC249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Démontre une capacité à trouver des modes d’action fondés sur un collectif.</w:t>
            </w:r>
          </w:p>
          <w:p w14:paraId="2C962B09" w14:textId="77777777" w:rsidR="00062382" w:rsidRPr="009F4765" w:rsidRDefault="00062382" w:rsidP="00062382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 xml:space="preserve"> Capacité à travailler en équipe</w:t>
            </w:r>
          </w:p>
        </w:tc>
      </w:tr>
      <w:tr w:rsidR="00062382" w:rsidRPr="00062382" w14:paraId="67968CDC" w14:textId="77777777" w:rsidTr="00FB422D">
        <w:trPr>
          <w:cantSplit/>
          <w:trHeight w:val="432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5610" w14:textId="77777777" w:rsidR="00062382" w:rsidRPr="009F4765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 xml:space="preserve">8– Qualité de l’argumentation </w:t>
            </w:r>
          </w:p>
        </w:tc>
      </w:tr>
      <w:tr w:rsidR="00062382" w:rsidRPr="00062382" w14:paraId="0CCFA95C" w14:textId="77777777" w:rsidTr="00062382">
        <w:trPr>
          <w:cantSplit/>
          <w:trHeight w:val="5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6C73D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N’argumente pas.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6378B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Reste sur les aspects descriptifs de ses travaux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D94CE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Limite son argumentation aux travaux prescrits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7D5A" w14:textId="77777777" w:rsidR="00062382" w:rsidRPr="009F4765" w:rsidRDefault="00062382" w:rsidP="00062382">
            <w:pPr>
              <w:spacing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Sait mobiliser les arguments de référence (contraintes, ressources, techniques usuelles, méthodes, …)</w:t>
            </w:r>
          </w:p>
        </w:tc>
      </w:tr>
      <w:tr w:rsidR="00062382" w:rsidRPr="00062382" w14:paraId="5826A4CE" w14:textId="77777777" w:rsidTr="00062382">
        <w:trPr>
          <w:cantSplit/>
          <w:trHeight w:val="353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E2BA" w14:textId="77777777" w:rsidR="00062382" w:rsidRPr="009F4765" w:rsidRDefault="00062382" w:rsidP="00062382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 xml:space="preserve">9 – Qualité de la communication écrite et orale </w:t>
            </w:r>
          </w:p>
        </w:tc>
      </w:tr>
      <w:tr w:rsidR="00062382" w:rsidRPr="00062382" w14:paraId="6E763967" w14:textId="77777777" w:rsidTr="00062382">
        <w:trPr>
          <w:cantSplit/>
          <w:trHeight w:val="26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8D4541" w14:textId="77777777" w:rsidR="00062382" w:rsidRPr="009F4765" w:rsidRDefault="00062382" w:rsidP="00062382">
            <w:pPr>
              <w:spacing w:after="160"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Ne communique pas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6C753" w14:textId="77777777" w:rsidR="00062382" w:rsidRPr="009F4765" w:rsidRDefault="00062382" w:rsidP="00062382">
            <w:pPr>
              <w:spacing w:after="160"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 xml:space="preserve"> Fait un compte rendu partiel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98689" w14:textId="77777777" w:rsidR="00062382" w:rsidRPr="009F4765" w:rsidRDefault="00062382" w:rsidP="00062382">
            <w:pPr>
              <w:spacing w:after="160"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Explique et fait comprendre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ADEE8" w14:textId="77777777" w:rsidR="00062382" w:rsidRPr="009F4765" w:rsidRDefault="00062382" w:rsidP="00062382">
            <w:pPr>
              <w:spacing w:after="160" w:line="259" w:lineRule="auto"/>
              <w:rPr>
                <w:rFonts w:asciiTheme="minorHAnsi" w:hAnsiTheme="minorHAnsi" w:cstheme="minorBidi"/>
              </w:rPr>
            </w:pPr>
            <w:r w:rsidRPr="009F4765">
              <w:rPr>
                <w:rFonts w:asciiTheme="minorHAnsi" w:hAnsiTheme="minorHAnsi" w:cstheme="minorBidi"/>
              </w:rPr>
              <w:t>Fait adhérer par des qualités de conviction</w:t>
            </w:r>
          </w:p>
        </w:tc>
      </w:tr>
    </w:tbl>
    <w:p w14:paraId="48851D6D" w14:textId="77777777" w:rsidR="003C2C03" w:rsidRDefault="003C2C03" w:rsidP="00FF7069"/>
    <w:sectPr w:rsidR="003C2C03" w:rsidSect="00342ED6">
      <w:headerReference w:type="default" r:id="rId8"/>
      <w:footerReference w:type="default" r:id="rId9"/>
      <w:pgSz w:w="11906" w:h="16838"/>
      <w:pgMar w:top="2892" w:right="964" w:bottom="964" w:left="964" w:header="964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2722" w14:textId="77777777" w:rsidR="005573F2" w:rsidRDefault="005573F2" w:rsidP="000F5C7E">
      <w:r>
        <w:separator/>
      </w:r>
    </w:p>
  </w:endnote>
  <w:endnote w:type="continuationSeparator" w:id="0">
    <w:p w14:paraId="1871AA68" w14:textId="77777777" w:rsidR="005573F2" w:rsidRDefault="005573F2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EE03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277FDE8F" wp14:editId="6F89D07D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86" name="Imag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51042A0" wp14:editId="2BD8A74D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06CB5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2357433B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65BB025A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52562151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4D490C79" w14:textId="77777777" w:rsidR="00FA080D" w:rsidRPr="00E22EEA" w:rsidRDefault="00724315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062382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971123" wp14:editId="0B792F3B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77C3B3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F4765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F4765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9F4765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9F4765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431590CC" wp14:editId="2D60BBF3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87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8122" w14:textId="77777777" w:rsidR="005573F2" w:rsidRDefault="005573F2" w:rsidP="000F5C7E">
      <w:r>
        <w:separator/>
      </w:r>
    </w:p>
  </w:footnote>
  <w:footnote w:type="continuationSeparator" w:id="0">
    <w:p w14:paraId="6ADD608D" w14:textId="77777777" w:rsidR="005573F2" w:rsidRDefault="005573F2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5867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7D508B7" wp14:editId="62BC0632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84" name="Imag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24686B7" wp14:editId="46AAF4D8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85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61E8B"/>
    <w:multiLevelType w:val="hybridMultilevel"/>
    <w:tmpl w:val="48C658F6"/>
    <w:lvl w:ilvl="0" w:tplc="B1466C4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B0"/>
    <w:rsid w:val="00062382"/>
    <w:rsid w:val="00077A9C"/>
    <w:rsid w:val="000F5C7E"/>
    <w:rsid w:val="001D7C16"/>
    <w:rsid w:val="001E1C4D"/>
    <w:rsid w:val="0024718D"/>
    <w:rsid w:val="0030081B"/>
    <w:rsid w:val="00342ED6"/>
    <w:rsid w:val="003516D5"/>
    <w:rsid w:val="00376466"/>
    <w:rsid w:val="0039265B"/>
    <w:rsid w:val="003C2C03"/>
    <w:rsid w:val="003E0CE4"/>
    <w:rsid w:val="00460022"/>
    <w:rsid w:val="00464BBA"/>
    <w:rsid w:val="004B422D"/>
    <w:rsid w:val="004E1A70"/>
    <w:rsid w:val="005211B1"/>
    <w:rsid w:val="005573F2"/>
    <w:rsid w:val="005676E7"/>
    <w:rsid w:val="005E32B3"/>
    <w:rsid w:val="00644813"/>
    <w:rsid w:val="006471CE"/>
    <w:rsid w:val="006B7B56"/>
    <w:rsid w:val="006D1AD2"/>
    <w:rsid w:val="00724315"/>
    <w:rsid w:val="00830D71"/>
    <w:rsid w:val="00835227"/>
    <w:rsid w:val="008877AA"/>
    <w:rsid w:val="009B344D"/>
    <w:rsid w:val="009D4AB0"/>
    <w:rsid w:val="009F3308"/>
    <w:rsid w:val="009F4765"/>
    <w:rsid w:val="00A03608"/>
    <w:rsid w:val="00A1480B"/>
    <w:rsid w:val="00A57877"/>
    <w:rsid w:val="00B230B0"/>
    <w:rsid w:val="00B62CE2"/>
    <w:rsid w:val="00BC240E"/>
    <w:rsid w:val="00C61105"/>
    <w:rsid w:val="00E22EEA"/>
    <w:rsid w:val="00EB0E52"/>
    <w:rsid w:val="00EB7023"/>
    <w:rsid w:val="00FA080D"/>
    <w:rsid w:val="00FB422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56DE2A"/>
  <w15:chartTrackingRefBased/>
  <w15:docId w15:val="{8FC5A9CE-F836-45C5-B8B1-38004FC1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69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B230B0"/>
    <w:pPr>
      <w:spacing w:after="200" w:line="276" w:lineRule="auto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B2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F7C72-DA29-4599-A8FC-F963A100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(12)</Template>
  <TotalTime>0</TotalTime>
  <Pages>2</Pages>
  <Words>551</Words>
  <Characters>3146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2024-03-14T11:48:00Z</dcterms:created>
  <dcterms:modified xsi:type="dcterms:W3CDTF">2024-03-14T11:48:00Z</dcterms:modified>
</cp:coreProperties>
</file>