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drawing>
          <wp:anchor behindDoc="0" distT="0" distB="0" distL="114300" distR="114300" simplePos="0" locked="0" layoutInCell="0" allowOverlap="1" relativeHeight="3">
            <wp:simplePos x="0" y="0"/>
            <wp:positionH relativeFrom="column">
              <wp:posOffset>-119380</wp:posOffset>
            </wp:positionH>
            <wp:positionV relativeFrom="paragraph">
              <wp:posOffset>-86360</wp:posOffset>
            </wp:positionV>
            <wp:extent cx="1637665" cy="2025650"/>
            <wp:effectExtent l="0" t="0" r="0" b="0"/>
            <wp:wrapSquare wrapText="bothSides"/>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37665" cy="2025650"/>
                    </a:xfrm>
                    <a:prstGeom prst="rect">
                      <a:avLst/>
                    </a:prstGeom>
                  </pic:spPr>
                </pic:pic>
              </a:graphicData>
            </a:graphic>
          </wp:anchor>
        </w:drawing>
      </w:r>
    </w:p>
    <w:p>
      <w:pPr>
        <w:pStyle w:val="Normal"/>
        <w:jc w:val="right"/>
        <w:rPr>
          <w:rFonts w:cs="Times New Roman"/>
          <w:i/>
          <w:i/>
          <w:iCs/>
          <w:sz w:val="20"/>
          <w:szCs w:val="20"/>
        </w:rPr>
      </w:pPr>
      <w:r>
        <w:rPr/>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TimesNewRomanPS-BoldMT" w:hAnsi="TimesNewRomanPS-BoldMT" w:eastAsia="Times New Roman" w:cs="TimesNewRomanPS-BoldMT"/>
                <w:b/>
                <w:b/>
                <w:bCs/>
                <w:kern w:val="0"/>
                <w:sz w:val="20"/>
                <w:szCs w:val="20"/>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 xml:space="preserve">NTITULÉ DU POSTE </w:t>
            </w:r>
            <w:r>
              <w:rPr>
                <w:rFonts w:eastAsia="Times New Roman" w:cs="TimesNewRomanPS-BoldMT" w:ascii="TimesNewRomanPS-BoldMT" w:hAnsi="TimesNewRomanPS-BoldMT"/>
                <w:b/>
                <w:bCs/>
                <w:kern w:val="0"/>
                <w:sz w:val="20"/>
                <w:szCs w:val="20"/>
              </w:rPr>
              <w:t>:</w:t>
            </w:r>
          </w:p>
          <w:p>
            <w:pPr>
              <w:pStyle w:val="Normal"/>
              <w:widowControl w:val="false"/>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 xml:space="preserve">TUTEUR DE MAISONNÉE </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séjour de cohésion du Service national universel</w:t>
            </w:r>
          </w:p>
          <w:p>
            <w:pPr>
              <w:pStyle w:val="Titre1"/>
              <w:widowControl w:val="false"/>
              <w:spacing w:before="240" w:after="60"/>
              <w:rPr>
                <w:rFonts w:ascii="Arial" w:hAnsi="Arial" w:cs="Arial"/>
              </w:rPr>
            </w:pPr>
            <w:r>
              <w:rPr>
                <w:rFonts w:cs="Arial" w:ascii="Arial" w:hAnsi="Arial"/>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b w:val="false"/>
              </w:rPr>
              <w:t>Service de la jeunesse, de l’engagement et du sport</w:t>
            </w:r>
          </w:p>
        </w:tc>
      </w:tr>
      <w:tr>
        <w:trPr>
          <w:trHeight w:val="210" w:hRule="atLeast"/>
          <w:cantSplit w:val="true"/>
        </w:trPr>
        <w:tc>
          <w:tcPr>
            <w:tcW w:w="10695" w:type="dxa"/>
            <w:tcBorders>
              <w:top w:val="single" w:sz="18" w:space="0" w:color="FFFFFF"/>
              <w:left w:val="single" w:sz="4" w:space="0" w:color="999999"/>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Localisation géographique : La </w:t>
            </w:r>
            <w:r>
              <w:rPr>
                <w:rFonts w:cs="Arial" w:ascii="Arial" w:hAnsi="Arial"/>
                <w:shd w:fill="auto" w:val="clear"/>
              </w:rPr>
              <w:t>Guyane</w:t>
            </w:r>
          </w:p>
        </w:tc>
      </w:tr>
      <w:tr>
        <w:trPr>
          <w:trHeight w:val="210" w:hRule="atLeast"/>
          <w:cantSplit w:val="true"/>
        </w:trPr>
        <w:tc>
          <w:tcPr>
            <w:tcW w:w="10695" w:type="dxa"/>
            <w:tcBorders>
              <w:top w:val="single" w:sz="18" w:space="0" w:color="FFFFFF"/>
              <w:left w:val="single" w:sz="4" w:space="0" w:color="999999"/>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En 2024, jusqu’à </w:t>
            </w:r>
            <w:r>
              <w:rPr>
                <w:rFonts w:eastAsia="Times New Roman" w:cs="Arial" w:ascii="Arial" w:hAnsi="Arial"/>
                <w:kern w:val="0"/>
                <w:sz w:val="20"/>
                <w:szCs w:val="20"/>
              </w:rPr>
              <w:t>5</w:t>
            </w:r>
            <w:r>
              <w:rPr>
                <w:rFonts w:eastAsia="Times New Roman" w:cs="Arial" w:ascii="Arial" w:hAnsi="Arial"/>
                <w:kern w:val="0"/>
                <w:sz w:val="20"/>
                <w:szCs w:val="20"/>
              </w:rPr>
              <w:t xml:space="preserve"> séjours de cohésion/classes et lycées engagées seront proposés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Corpsdetexte"/>
              <w:widowControl w:val="false"/>
              <w:numPr>
                <w:ilvl w:val="0"/>
                <w:numId w:val="8"/>
              </w:numPr>
              <w:spacing w:before="0" w:after="0"/>
              <w:rPr/>
            </w:pPr>
            <w:r>
              <w:rPr>
                <w:rStyle w:val="Accentuationforte"/>
                <w:rFonts w:eastAsia="Times New Roman" w:cs="Arial" w:ascii="Arial" w:hAnsi="Arial"/>
                <w:kern w:val="0"/>
                <w:sz w:val="20"/>
                <w:szCs w:val="20"/>
              </w:rPr>
              <w:t>Pendant le temps scolaire :</w:t>
            </w:r>
          </w:p>
          <w:p>
            <w:pPr>
              <w:pStyle w:val="Corpsdetexte"/>
              <w:widowControl w:val="false"/>
              <w:spacing w:lineRule="auto" w:line="240" w:before="0" w:after="0"/>
              <w:rPr/>
            </w:pPr>
            <w:r>
              <w:rPr>
                <w:rStyle w:val="Textenonproportionnel"/>
                <w:rFonts w:ascii="Arial" w:hAnsi="Arial"/>
                <w:b w:val="false"/>
                <w:sz w:val="20"/>
                <w:szCs w:val="20"/>
              </w:rPr>
              <w:t>Séjour 1: Du 11 au 23 mars 2024</w:t>
              <w:br/>
              <w:t>Séjour 2: Du 25 mars au 5 avril 2024</w:t>
              <w:br/>
              <w:t>Séjour 3: Du 13 au 24 mai 2024</w:t>
            </w:r>
          </w:p>
          <w:p>
            <w:pPr>
              <w:pStyle w:val="Corpsdetexte"/>
              <w:widowControl w:val="false"/>
              <w:spacing w:lineRule="auto" w:line="240" w:before="0" w:after="0"/>
              <w:rPr>
                <w:rStyle w:val="Textenonproportionnel"/>
                <w:rFonts w:ascii="Arial" w:hAnsi="Arial"/>
                <w:b w:val="false"/>
                <w:b w:val="false"/>
                <w:sz w:val="20"/>
                <w:szCs w:val="20"/>
              </w:rPr>
            </w:pPr>
            <w:r>
              <w:rPr>
                <w:rFonts w:ascii="Arial" w:hAnsi="Arial"/>
                <w:b w:val="false"/>
                <w:sz w:val="20"/>
                <w:szCs w:val="20"/>
              </w:rPr>
            </w:r>
          </w:p>
          <w:p>
            <w:pPr>
              <w:pStyle w:val="Corpsdetexte"/>
              <w:widowControl w:val="false"/>
              <w:numPr>
                <w:ilvl w:val="0"/>
                <w:numId w:val="7"/>
              </w:numPr>
              <w:tabs>
                <w:tab w:val="clear" w:pos="708"/>
                <w:tab w:val="left" w:pos="0" w:leader="none"/>
              </w:tabs>
              <w:spacing w:lineRule="auto" w:line="240" w:before="0" w:after="0"/>
              <w:ind w:left="707" w:hanging="283"/>
              <w:rPr/>
            </w:pPr>
            <w:r>
              <w:rPr>
                <w:rStyle w:val="Accentuationforte"/>
                <w:rFonts w:ascii="Arial" w:hAnsi="Arial"/>
                <w:sz w:val="20"/>
                <w:szCs w:val="20"/>
              </w:rPr>
              <w:t>Hors temps scolaire :</w:t>
            </w:r>
          </w:p>
          <w:p>
            <w:pPr>
              <w:pStyle w:val="Corpsdetexte"/>
              <w:widowControl w:val="false"/>
              <w:spacing w:lineRule="auto" w:line="240" w:before="0" w:after="0"/>
              <w:rPr/>
            </w:pPr>
            <w:r>
              <w:rPr>
                <w:rStyle w:val="Textenonproportionnel"/>
                <w:rFonts w:ascii="Arial" w:hAnsi="Arial"/>
                <w:b w:val="false"/>
                <w:sz w:val="20"/>
                <w:szCs w:val="20"/>
              </w:rPr>
              <w:t>Séjour 4 et 5: Du 03 au 15</w:t>
            </w:r>
            <w:r>
              <w:rPr>
                <w:rStyle w:val="Textenonproportionnel"/>
                <w:rFonts w:ascii="Arial" w:hAnsi="Arial"/>
                <w:sz w:val="20"/>
                <w:szCs w:val="20"/>
              </w:rPr>
              <w:t xml:space="preserve"> </w:t>
            </w:r>
            <w:r>
              <w:rPr>
                <w:rStyle w:val="Textenonproportionnel"/>
                <w:rFonts w:ascii="Arial" w:hAnsi="Arial"/>
                <w:b w:val="false"/>
                <w:sz w:val="20"/>
                <w:szCs w:val="20"/>
              </w:rPr>
              <w:t>juillet</w:t>
            </w:r>
            <w:r>
              <w:rPr>
                <w:rStyle w:val="Textenonproportionnel"/>
                <w:rFonts w:ascii="Arial" w:hAnsi="Arial"/>
                <w:sz w:val="20"/>
                <w:szCs w:val="20"/>
              </w:rPr>
              <w:t xml:space="preserve"> </w:t>
            </w:r>
            <w:r>
              <w:rPr>
                <w:rStyle w:val="Textenonproportionnel"/>
                <w:rFonts w:ascii="Arial" w:hAnsi="Arial"/>
                <w:b w:val="false"/>
                <w:sz w:val="20"/>
                <w:szCs w:val="20"/>
              </w:rPr>
              <w:t>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cs="Arial"/>
                <w:sz w:val="20"/>
                <w:szCs w:val="20"/>
              </w:rPr>
            </w:pPr>
            <w:r>
              <w:rPr>
                <w:rFonts w:cs="Arial" w:ascii="Arial" w:hAnsi="Arial"/>
                <w:sz w:val="20"/>
                <w:szCs w:val="20"/>
              </w:rPr>
              <w:t>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w:t>
            </w:r>
          </w:p>
          <w:p>
            <w:pPr>
              <w:pStyle w:val="Normal"/>
              <w:widowControl w:val="false"/>
              <w:rPr>
                <w:rFonts w:ascii="Arial" w:hAnsi="Arial" w:cs="Arial"/>
                <w:b/>
                <w:b/>
                <w:sz w:val="20"/>
                <w:szCs w:val="20"/>
              </w:rPr>
            </w:pPr>
            <w:r>
              <w:rPr>
                <w:rFonts w:cs="Arial" w:ascii="Arial" w:hAnsi="Arial"/>
                <w:b/>
                <w:sz w:val="20"/>
                <w:szCs w:val="20"/>
              </w:rPr>
            </w:r>
          </w:p>
          <w:p>
            <w:pPr>
              <w:pStyle w:val="Titre2"/>
              <w:widowControl w:val="false"/>
              <w:spacing w:before="120" w:after="120"/>
              <w:rPr>
                <w:rFonts w:ascii="Arial" w:hAnsi="Arial" w:cs="Arial"/>
              </w:rPr>
            </w:pPr>
            <w:r>
              <w:rPr>
                <w:rFonts w:eastAsia="Times New Roman" w:cs="Arial" w:ascii="Arial" w:hAnsi="Arial"/>
                <w:kern w:val="0"/>
              </w:rPr>
              <w:t>Possibilité de candidater pour une seule ou les deux sessions.</w:t>
            </w:r>
          </w:p>
        </w:tc>
      </w:tr>
      <w:tr>
        <w:trPr/>
        <w:tc>
          <w:tcPr>
            <w:tcW w:w="10695" w:type="dxa"/>
            <w:tcBorders>
              <w:top w:val="single" w:sz="18" w:space="0" w:color="FFFFFF"/>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Fonction :</w:t>
            </w:r>
            <w:r>
              <w:rPr>
                <w:rFonts w:cs="Arial" w:ascii="Arial" w:hAnsi="Arial"/>
                <w:b w:val="false"/>
              </w:rPr>
              <w:t xml:space="preserve"> </w:t>
            </w:r>
            <w:r>
              <w:rPr>
                <w:rFonts w:eastAsia="Times New Roman" w:cs="Arial" w:ascii="Arial" w:hAnsi="Arial"/>
                <w:b w:val="false"/>
                <w:bCs w:val="false"/>
                <w:caps w:val="false"/>
                <w:smallCaps w:val="false"/>
                <w:kern w:val="0"/>
              </w:rPr>
              <w:t>Tuteur de maisonnée</w:t>
            </w:r>
          </w:p>
        </w:tc>
      </w:tr>
      <w:tr>
        <w:trPr/>
        <w:tc>
          <w:tcPr>
            <w:tcW w:w="10695" w:type="dxa"/>
            <w:tcBorders>
              <w:top w:val="single" w:sz="4" w:space="0" w:color="999999"/>
              <w:left w:val="single" w:sz="4" w:space="0" w:color="999999"/>
              <w:right w:val="single" w:sz="4" w:space="0" w:color="999999"/>
            </w:tcBorders>
          </w:tcPr>
          <w:p>
            <w:pPr>
              <w:pStyle w:val="Titre2"/>
              <w:widowControl w:val="false"/>
              <w:spacing w:before="120" w:after="120"/>
              <w:rPr>
                <w:rFonts w:ascii="Arial" w:hAnsi="Arial" w:cs="Arial"/>
              </w:rPr>
            </w:pPr>
            <w:r>
              <w:rPr>
                <w:rFonts w:cs="Arial" w:ascii="Arial" w:hAnsi="Arial"/>
              </w:rPr>
              <w:t>Nombre de personnes à encadrer :</w:t>
            </w:r>
            <w:r>
              <w:rPr>
                <w:rFonts w:cs="Arial" w:ascii="Arial" w:hAnsi="Arial"/>
                <w:color w:val="FF0000"/>
              </w:rPr>
              <w:t xml:space="preserve"> </w:t>
            </w:r>
            <w:r>
              <w:rPr>
                <w:rFonts w:eastAsia="Times New Roman" w:cs="Arial" w:ascii="Arial" w:hAnsi="Arial"/>
                <w:bCs w:val="false"/>
                <w:caps w:val="false"/>
                <w:smallCaps w:val="false"/>
                <w:kern w:val="0"/>
              </w:rPr>
              <w:t>Un tuteur de maisonnée pour 14 volontaires</w:t>
            </w:r>
          </w:p>
        </w:tc>
      </w:tr>
      <w:tr>
        <w:trPr>
          <w:trHeight w:val="1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Conditions particulières d’exercice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Astreinte de nuit et logement sur site (hébergement et pension complète inclus)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Tenue obligatoire fournie pour l’encadrement du séjour</w:t>
            </w:r>
          </w:p>
          <w:p>
            <w:pPr>
              <w:pStyle w:val="Normal"/>
              <w:widowControl w:val="false"/>
              <w:rPr>
                <w:b/>
                <w:b/>
              </w:rPr>
            </w:pPr>
            <w:r>
              <w:rPr>
                <w:b/>
              </w:rPr>
            </w:r>
          </w:p>
        </w:tc>
      </w:tr>
      <w:tr>
        <w:trPr/>
        <w:tc>
          <w:tcPr>
            <w:tcW w:w="10695" w:type="dxa"/>
            <w:tcBorders>
              <w:top w:val="single" w:sz="4" w:space="0" w:color="999999"/>
              <w:left w:val="single" w:sz="4" w:space="0" w:color="999999"/>
              <w:right w:val="single" w:sz="4" w:space="0" w:color="999999"/>
            </w:tcBorders>
            <w:shd w:color="auto" w:fill="D9D9D9" w:themeFill="background1" w:themeFillShade="d9" w:val="clear"/>
          </w:tcPr>
          <w:p>
            <w:pPr>
              <w:pStyle w:val="Titre2"/>
              <w:widowControl w:val="false"/>
              <w:spacing w:before="120" w:after="120"/>
              <w:jc w:val="both"/>
              <w:rPr>
                <w:rFonts w:ascii="Arial" w:hAnsi="Arial" w:cs="Arial"/>
              </w:rPr>
            </w:pPr>
            <w:r>
              <w:rPr>
                <w:rFonts w:cs="Arial" w:ascii="Arial" w:hAnsi="Arial"/>
                <w:u w:val="single"/>
              </w:rPr>
              <w:t>Description du dispositif</w:t>
            </w:r>
            <w:r>
              <w:rPr>
                <w:rFonts w:cs="Arial" w:ascii="Arial" w:hAnsi="Arial"/>
              </w:rPr>
              <w:t xml:space="preserve">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4"/>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xml:space="preserve">, en favorisant le sentiment d’appartenance à la Nation et l’identification aux valeurs de la République. </w:t>
            </w:r>
          </w:p>
          <w:p>
            <w:pPr>
              <w:pStyle w:val="ListParagraph"/>
              <w:widowControl w:val="false"/>
              <w:numPr>
                <w:ilvl w:val="0"/>
                <w:numId w:val="4"/>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4"/>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SNU s’adresse aux jeunes entre 15 à 17 ans sur la base du volontariat.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parcours SNU s’articule en 2 étapes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6"/>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6"/>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w:t>
            </w:r>
          </w:p>
          <w:p>
            <w:pPr>
              <w:pStyle w:val="Normal"/>
              <w:widowControl w:val="false"/>
              <w:rPr/>
            </w:pPr>
            <w:r>
              <w:rPr/>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t>Les séjours de cohésion ont lieu dans des centres SNU, répartis sur l’ensemble du territoire, dont les territoires ultra-marins.</w:t>
            </w:r>
          </w:p>
          <w:p>
            <w:pPr>
              <w:pStyle w:val="Normal"/>
              <w:widowControl w:val="false"/>
              <w:jc w:val="both"/>
              <w:rPr>
                <w:rFonts w:ascii="Arial" w:hAnsi="Arial" w:cs="Arial"/>
                <w:b/>
                <w:b/>
                <w:sz w:val="20"/>
                <w:szCs w:val="20"/>
              </w:rPr>
            </w:pPr>
            <w:r>
              <w:rPr>
                <w:rFonts w:cs="Arial" w:ascii="Arial" w:hAnsi="Arial"/>
                <w:b/>
                <w:sz w:val="20"/>
                <w:szCs w:val="20"/>
              </w:rPr>
            </w:r>
          </w:p>
        </w:tc>
      </w:tr>
      <w:tr>
        <w:trPr>
          <w:trHeight w:val="80" w:hRule="atLeast"/>
        </w:trPr>
        <w:tc>
          <w:tcPr>
            <w:tcW w:w="10695" w:type="dxa"/>
            <w:tcBorders>
              <w:left w:val="single" w:sz="4" w:space="0" w:color="999999"/>
              <w:bottom w:val="single" w:sz="4" w:space="0" w:color="999999"/>
              <w:right w:val="single" w:sz="4" w:space="0" w:color="999999"/>
            </w:tcBorders>
            <w:shd w:color="auto" w:fill="D9D9D9" w:val="clear"/>
          </w:tcPr>
          <w:p>
            <w:pPr>
              <w:pStyle w:val="Normal"/>
              <w:widowControl w:val="false"/>
              <w:jc w:val="both"/>
              <w:rPr>
                <w:rFonts w:ascii="Arial" w:hAnsi="Arial" w:cs="Arial"/>
                <w:sz w:val="20"/>
                <w:szCs w:val="20"/>
              </w:rPr>
            </w:pPr>
            <w:r>
              <w:rPr>
                <w:rFonts w:cs="Arial" w:ascii="Arial" w:hAnsi="Arial"/>
                <w:sz w:val="20"/>
                <w:szCs w:val="20"/>
              </w:rPr>
            </w:r>
          </w:p>
        </w:tc>
      </w:tr>
      <w:tr>
        <w:trPr>
          <w:trHeight w:val="422"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rPr>
              <w:t xml:space="preserve">Descriptif de la structure : </w:t>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 :</w:t>
            </w:r>
            <w:r>
              <w:rPr>
                <w:rFonts w:cs="Arial" w:ascii="Arial" w:hAnsi="Arial"/>
              </w:rPr>
              <w:t xml:space="preserve"> </w:t>
            </w:r>
            <w:r>
              <w:rPr>
                <w:rFonts w:cs="Arial" w:ascii="Arial" w:hAnsi="Arial"/>
                <w:sz w:val="20"/>
                <w:szCs w:val="20"/>
              </w:rPr>
              <w:t>Les effectifs varient en fonction de la capacité d’accueil des centres pouvant aller de 112 à 250 volontaires</w:t>
            </w:r>
            <w:r>
              <w:rPr>
                <w:rFonts w:cs="Arial" w:ascii="Arial" w:hAnsi="Arial"/>
              </w:rPr>
              <w:t xml:space="preserve">. </w:t>
            </w:r>
            <w:r>
              <w:rPr>
                <w:rFonts w:cs="Arial" w:ascii="Arial" w:hAnsi="Arial"/>
                <w:sz w:val="20"/>
                <w:szCs w:val="20"/>
              </w:rPr>
              <w:t xml:space="preserve">Chaque centre est composé de plusieurs compagnies. Chaque compagnie contient 3 à 5 maisonnées accueillant 14 volontaires dans chaque maisonnée. </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3"/>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3"/>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activités sportives, approche pédagogique, volet sanitaires… (2 ou 3 en fonction de la taille des centres) ;</w:t>
            </w:r>
          </w:p>
          <w:p>
            <w:pPr>
              <w:pStyle w:val="ListParagraph"/>
              <w:widowControl w:val="false"/>
              <w:numPr>
                <w:ilvl w:val="0"/>
                <w:numId w:val="3"/>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3"/>
              </w:numPr>
              <w:jc w:val="both"/>
              <w:rPr>
                <w:rFonts w:ascii="Arial" w:hAnsi="Arial" w:cs="Arial"/>
                <w:sz w:val="20"/>
                <w:szCs w:val="20"/>
              </w:rPr>
            </w:pPr>
            <w:r>
              <w:rPr>
                <w:rFonts w:cs="Arial" w:ascii="Arial" w:hAnsi="Arial"/>
                <w:b/>
                <w:bCs/>
                <w:sz w:val="20"/>
                <w:szCs w:val="20"/>
              </w:rPr>
              <w:t>des cadres de compagnie</w:t>
            </w:r>
            <w:r>
              <w:rPr>
                <w:rFonts w:cs="Arial" w:ascii="Arial" w:hAnsi="Arial"/>
                <w:sz w:val="20"/>
                <w:szCs w:val="20"/>
              </w:rPr>
              <w:t xml:space="preserve"> (1 pour 40 à 50 volontaires) ;</w:t>
            </w:r>
          </w:p>
          <w:p>
            <w:pPr>
              <w:pStyle w:val="ListParagraph"/>
              <w:widowControl w:val="false"/>
              <w:numPr>
                <w:ilvl w:val="0"/>
                <w:numId w:val="3"/>
              </w:numPr>
              <w:jc w:val="both"/>
              <w:rPr>
                <w:rFonts w:ascii="Arial" w:hAnsi="Arial" w:cs="Arial"/>
                <w:sz w:val="20"/>
                <w:szCs w:val="20"/>
              </w:rPr>
            </w:pPr>
            <w:r>
              <w:rPr>
                <w:rFonts w:cs="Arial" w:ascii="Arial" w:hAnsi="Arial"/>
                <w:sz w:val="20"/>
                <w:szCs w:val="20"/>
              </w:rPr>
              <w:t>d</w:t>
            </w:r>
            <w:r>
              <w:rPr>
                <w:rFonts w:cs="Arial" w:ascii="Arial" w:hAnsi="Arial"/>
                <w:b/>
                <w:bCs/>
                <w:sz w:val="20"/>
                <w:szCs w:val="20"/>
              </w:rPr>
              <w:t>es tuteurs de maisonnée</w:t>
            </w:r>
            <w:r>
              <w:rPr>
                <w:rFonts w:cs="Arial" w:ascii="Arial" w:hAnsi="Arial"/>
                <w:sz w:val="20"/>
                <w:szCs w:val="20"/>
              </w:rPr>
              <w:t xml:space="preserve"> (1 pour 14 volontaires).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rPr>
            </w:pPr>
            <w:r>
              <w:rPr>
                <w:rFonts w:cs="Arial" w:ascii="Arial" w:hAnsi="Arial"/>
              </w:rPr>
            </w:r>
          </w:p>
        </w:tc>
      </w:tr>
      <w:tr>
        <w:trPr>
          <w:trHeight w:val="389" w:hRule="atLeast"/>
        </w:trPr>
        <w:tc>
          <w:tcPr>
            <w:tcW w:w="10695" w:type="dxa"/>
            <w:tcBorders>
              <w:top w:val="single" w:sz="4" w:space="0" w:color="999999"/>
              <w:left w:val="single" w:sz="4" w:space="0" w:color="999999"/>
              <w:bottom w:val="single" w:sz="4" w:space="0" w:color="999999"/>
              <w:right w:val="single" w:sz="4" w:space="0" w:color="999999"/>
            </w:tcBorders>
            <w:shd w:color="auto" w:fill="FFFFFF" w:val="clear"/>
          </w:tcPr>
          <w:p>
            <w:pPr>
              <w:pStyle w:val="Titre2"/>
              <w:widowControl w:val="false"/>
              <w:spacing w:before="120" w:after="120"/>
              <w:rPr>
                <w:rFonts w:ascii="Arial" w:hAnsi="Arial" w:cs="Arial"/>
              </w:rPr>
            </w:pPr>
            <w:r>
              <w:rPr>
                <w:rFonts w:cs="Arial" w:ascii="Arial" w:hAnsi="Arial"/>
              </w:rPr>
              <w:t>Description du poste (responsabilités, missions, attributions et activités) :</w:t>
            </w:r>
          </w:p>
          <w:p>
            <w:pPr>
              <w:pStyle w:val="Normal"/>
              <w:widowControl w:val="false"/>
              <w:jc w:val="both"/>
              <w:rPr>
                <w:rFonts w:ascii="Arial" w:hAnsi="Arial" w:cs="Arial"/>
                <w:sz w:val="20"/>
                <w:szCs w:val="20"/>
              </w:rPr>
            </w:pPr>
            <w:r>
              <w:rPr>
                <w:rFonts w:cs="Arial" w:ascii="Arial" w:hAnsi="Arial"/>
                <w:sz w:val="20"/>
                <w:szCs w:val="20"/>
              </w:rPr>
              <w:t>Le tuteur est le cadre de proximité des jeunes pendant les deux semaines du stage de cohésion. Il partage, nuit et jour, la vie de la maisonnée (groupe de 14 volontaires) dont il a la charge. Il est responsable de la vie quotidienne de sa maisonnée et de l’esprit qui l’anime. Il veille à développer l’autonomie et la responsabilité des volontaires et à créer une ambiance de respect mutuel. La mission du tuteur se divise en plusieurs tâches principales :</w:t>
            </w:r>
          </w:p>
          <w:p>
            <w:pPr>
              <w:pStyle w:val="Normal"/>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5"/>
              </w:numPr>
              <w:jc w:val="both"/>
              <w:rPr>
                <w:rFonts w:ascii="Arial" w:hAnsi="Arial" w:cs="Arial"/>
                <w:sz w:val="20"/>
                <w:szCs w:val="20"/>
              </w:rPr>
            </w:pPr>
            <w:r>
              <w:rPr>
                <w:rFonts w:cs="Arial" w:ascii="Arial" w:hAnsi="Arial"/>
                <w:sz w:val="20"/>
                <w:szCs w:val="20"/>
                <w:u w:val="single"/>
              </w:rPr>
              <w:t>L’accueil et l’accompagnement des volontaires :</w:t>
            </w:r>
            <w:bookmarkStart w:id="0" w:name="_GoBack"/>
            <w:bookmarkEnd w:id="0"/>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préparer l’accueil au sein de la maisonnée dans les domaines de l’hébergement, de l’hygiène, tenues, etc.</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susciter la participation et impliquer les volontaires pour toutes les activités : vie courante, activités physiques, modules divers, etc.</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veiller à l’assiduité et au respect des horaires.</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assurer, si nécessaire, le premier lien avec les familles.</w:t>
            </w:r>
          </w:p>
          <w:p>
            <w:pPr>
              <w:pStyle w:val="ListParagraph"/>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5"/>
              </w:numPr>
              <w:jc w:val="both"/>
              <w:rPr>
                <w:rFonts w:ascii="Arial" w:hAnsi="Arial" w:cs="Arial"/>
                <w:sz w:val="20"/>
                <w:szCs w:val="20"/>
                <w:u w:val="single"/>
              </w:rPr>
            </w:pPr>
            <w:r>
              <w:rPr>
                <w:rFonts w:cs="Arial" w:ascii="Arial" w:hAnsi="Arial"/>
                <w:sz w:val="20"/>
                <w:szCs w:val="20"/>
                <w:u w:val="single"/>
              </w:rPr>
              <w:t>L’organisation et la discipline de la vie courante :</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faire connaître et respecter le règlement intérieur,</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signaler aux cadres de compagnie tous les manquements,</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gérer les difficultés interpersonnelles, les conflits.</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veiller à la sécurité des jeunes en faisant respecter strictement les mesures de sécurité,</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identifier les risques, les situations problématiques, notamment de harcèlement,</w:t>
            </w:r>
          </w:p>
          <w:p>
            <w:pPr>
              <w:pStyle w:val="Normal"/>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5"/>
              </w:numPr>
              <w:jc w:val="both"/>
              <w:rPr>
                <w:rFonts w:ascii="Arial" w:hAnsi="Arial" w:cs="Arial"/>
                <w:sz w:val="20"/>
                <w:szCs w:val="20"/>
                <w:u w:val="single"/>
              </w:rPr>
            </w:pPr>
            <w:r>
              <w:rPr>
                <w:rFonts w:cs="Arial" w:ascii="Arial" w:hAnsi="Arial"/>
                <w:sz w:val="20"/>
                <w:szCs w:val="20"/>
                <w:u w:val="single"/>
              </w:rPr>
              <w:t>L’organisation de la vie démocratique et citoyenne :</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créer des temps d’échange démocratique,</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contribuer à l’organisation et au bon déroulement des tâches d’intérêt général,</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s’assurer d’un brassage effectif, dans la maisonnée ou les activités.</w:t>
            </w:r>
          </w:p>
          <w:p>
            <w:pPr>
              <w:pStyle w:val="Normal"/>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5"/>
              </w:numPr>
              <w:jc w:val="both"/>
              <w:rPr>
                <w:rFonts w:ascii="Arial" w:hAnsi="Arial" w:cs="Arial"/>
                <w:sz w:val="20"/>
                <w:szCs w:val="20"/>
                <w:u w:val="single"/>
              </w:rPr>
            </w:pPr>
            <w:r>
              <w:rPr>
                <w:rFonts w:cs="Arial" w:ascii="Arial" w:hAnsi="Arial"/>
                <w:sz w:val="20"/>
                <w:szCs w:val="20"/>
                <w:u w:val="single"/>
              </w:rPr>
              <w:t>Faire émerger un esprit de maisonnée :</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créer une cohésion de groupe,</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assurer l’inclusion effective de volontaires à besoins particuliers.</w:t>
            </w:r>
          </w:p>
          <w:p>
            <w:pPr>
              <w:pStyle w:val="Normal"/>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5"/>
              </w:numPr>
              <w:jc w:val="both"/>
              <w:rPr>
                <w:rFonts w:ascii="Arial" w:hAnsi="Arial" w:cs="Arial"/>
                <w:sz w:val="20"/>
                <w:szCs w:val="20"/>
                <w:u w:val="single"/>
              </w:rPr>
            </w:pPr>
            <w:r>
              <w:rPr>
                <w:rFonts w:cs="Arial" w:ascii="Arial" w:hAnsi="Arial"/>
                <w:sz w:val="20"/>
                <w:szCs w:val="20"/>
                <w:u w:val="single"/>
              </w:rPr>
              <w:t>Assurer des temps d’animation auprès des volontaires</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Mener des animations dans les ateliers du tronc commun et lors des colorations (Défense et Mémoire ; Sport et Jeux Olympiques et Paralympiques ; Environnement ; Résilience et Prévention des risques) en fonction de ses compétences et/ou de son expérience, et/ou après un temps de formation spécifique.</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Proposer et adapter les animations en lien avec le projet pédagogique et les guides des contenus.</w:t>
            </w:r>
          </w:p>
          <w:p>
            <w:pPr>
              <w:pStyle w:val="ListParagraph"/>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Préparer, mettre en œuvre et réaliser les animations.</w:t>
            </w:r>
          </w:p>
          <w:p>
            <w:pPr>
              <w:pStyle w:val="ListParagraph"/>
              <w:widowControl w:val="false"/>
              <w:jc w:val="both"/>
              <w:rPr>
                <w:rFonts w:ascii="Arial" w:hAnsi="Arial" w:cs="Arial"/>
                <w:sz w:val="20"/>
                <w:szCs w:val="20"/>
              </w:rPr>
            </w:pPr>
            <w:r>
              <w:rPr>
                <w:rFonts w:cs="Arial" w:ascii="Arial" w:hAnsi="Arial"/>
                <w:sz w:val="20"/>
                <w:szCs w:val="20"/>
              </w:rPr>
            </w:r>
          </w:p>
          <w:p>
            <w:pPr>
              <w:pStyle w:val="ListParagraph"/>
              <w:widowControl w:val="false"/>
              <w:numPr>
                <w:ilvl w:val="0"/>
                <w:numId w:val="5"/>
              </w:numPr>
              <w:jc w:val="both"/>
              <w:rPr>
                <w:rFonts w:ascii="Arial" w:hAnsi="Arial" w:cs="Arial"/>
                <w:sz w:val="20"/>
                <w:szCs w:val="20"/>
              </w:rPr>
            </w:pPr>
            <w:r>
              <w:rPr>
                <w:rFonts w:cs="Arial" w:ascii="Arial" w:hAnsi="Arial"/>
                <w:sz w:val="20"/>
                <w:szCs w:val="20"/>
              </w:rPr>
              <w:t>Participer activement aux temps de formation et de préparation du séjour.</w:t>
            </w:r>
          </w:p>
          <w:p>
            <w:pPr>
              <w:pStyle w:val="ListParagraph"/>
              <w:widowControl w:val="false"/>
              <w:jc w:val="both"/>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shd w:fill="FFFFFF" w:val="clear"/>
              </w:rPr>
            </w:pPr>
            <w:r>
              <w:rPr>
                <w:rFonts w:cs="Arial" w:ascii="Arial" w:hAnsi="Arial"/>
                <w:shd w:fill="FFFFFF" w:val="clear"/>
              </w:rPr>
              <w:t>Expérience professionnelle souhaitée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1" w:name="__Fieldmark__894_1339067865"/>
            <w:bookmarkStart w:id="2" w:name="__Fieldmark__894_1339067865"/>
            <w:bookmarkEnd w:id="2"/>
            <w:r>
              <w:rPr>
                <w:rFonts w:ascii="Arial" w:hAnsi="Arial"/>
                <w:sz w:val="20"/>
                <w:szCs w:val="20"/>
              </w:rPr>
            </w:r>
            <w:r>
              <w:rPr>
                <w:sz w:val="20"/>
                <w:szCs w:val="20"/>
                <w:rFonts w:ascii="Arial" w:hAnsi="Arial"/>
              </w:rPr>
              <w:fldChar w:fldCharType="end"/>
            </w:r>
            <w:bookmarkStart w:id="3" w:name="__Fieldmark__189_1339067865"/>
            <w:bookmarkEnd w:id="3"/>
            <w:r>
              <w:rPr>
                <w:rFonts w:cs="Arial" w:ascii="Arial" w:hAnsi="Arial"/>
                <w:sz w:val="20"/>
                <w:szCs w:val="20"/>
                <w:shd w:fill="D9D9D9" w:val="clear"/>
              </w:rPr>
              <w:t xml:space="preserve"> Ce poste est ouvert aux agents sans expérience professionnelle </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4" w:name="__Fieldmark__902_1339067865"/>
            <w:bookmarkStart w:id="5" w:name="__Fieldmark__902_1339067865"/>
            <w:bookmarkEnd w:id="5"/>
            <w:r>
              <w:rPr>
                <w:rFonts w:ascii="Arial" w:hAnsi="Arial"/>
                <w:sz w:val="20"/>
                <w:szCs w:val="20"/>
              </w:rPr>
            </w:r>
            <w:r>
              <w:rPr>
                <w:sz w:val="20"/>
                <w:szCs w:val="20"/>
                <w:rFonts w:ascii="Arial" w:hAnsi="Arial"/>
              </w:rPr>
              <w:fldChar w:fldCharType="end"/>
            </w:r>
            <w:bookmarkStart w:id="6" w:name="__Fieldmark__193_1339067865"/>
            <w:bookmarkEnd w:id="6"/>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initiale</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7" w:name="__Fieldmark__911_1339067865"/>
            <w:bookmarkStart w:id="8" w:name="__Fieldmark__911_1339067865"/>
            <w:bookmarkEnd w:id="8"/>
            <w:r>
              <w:rPr>
                <w:rFonts w:ascii="Arial" w:hAnsi="Arial"/>
                <w:sz w:val="20"/>
                <w:szCs w:val="20"/>
              </w:rPr>
            </w:r>
            <w:r>
              <w:rPr>
                <w:sz w:val="20"/>
                <w:szCs w:val="20"/>
                <w:rFonts w:ascii="Arial" w:hAnsi="Arial"/>
              </w:rPr>
              <w:fldChar w:fldCharType="end"/>
            </w:r>
            <w:bookmarkStart w:id="9" w:name="__Fieldmark__198_1339067865"/>
            <w:bookmarkEnd w:id="9"/>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confirmée</w:t>
            </w:r>
          </w:p>
          <w:p>
            <w:pPr>
              <w:pStyle w:val="Normal"/>
              <w:widowControl w:val="false"/>
              <w:rPr>
                <w:rFonts w:ascii="Arial" w:hAnsi="Arial" w:cs="Arial"/>
                <w:sz w:val="20"/>
                <w:szCs w:val="20"/>
                <w:shd w:fill="D9D9D9" w:val="clear"/>
              </w:rPr>
            </w:pPr>
            <w:r>
              <w:rPr>
                <w:rFonts w:cs="Arial" w:ascii="Arial" w:hAnsi="Arial"/>
                <w:sz w:val="20"/>
                <w:szCs w:val="20"/>
                <w:shd w:fill="D9D9D9" w:val="clear"/>
              </w:rPr>
            </w:r>
          </w:p>
        </w:tc>
      </w:tr>
      <w:tr>
        <w:trPr>
          <w:trHeight w:val="520" w:hRule="atLeast"/>
        </w:trPr>
        <w:tc>
          <w:tcPr>
            <w:tcW w:w="10695" w:type="dxa"/>
            <w:tcBorders>
              <w:left w:val="single" w:sz="4" w:space="0" w:color="999999"/>
              <w:bottom w:val="single" w:sz="4" w:space="0" w:color="999999"/>
              <w:right w:val="single" w:sz="4" w:space="0" w:color="999999"/>
            </w:tcBorders>
            <w:shd w:color="auto" w:fill="auto" w:val="clear"/>
          </w:tcPr>
          <w:p>
            <w:pPr>
              <w:pStyle w:val="Titre2"/>
              <w:widowControl w:val="false"/>
              <w:spacing w:before="120" w:after="120"/>
              <w:rPr>
                <w:rFonts w:ascii="Arial" w:hAnsi="Arial" w:cs="Arial"/>
                <w:shd w:fill="FFFFFF" w:val="clear"/>
              </w:rPr>
            </w:pPr>
            <w:r>
              <w:rPr>
                <w:rFonts w:cs="Arial" w:ascii="Arial" w:hAnsi="Arial"/>
              </w:rPr>
              <w:t>Les connaissances et compétences mises en œuvre</w:t>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Connaissances :</w:t>
            </w:r>
          </w:p>
          <w:p>
            <w:pPr>
              <w:pStyle w:val="ListParagraph"/>
              <w:widowControl w:val="false"/>
              <w:numPr>
                <w:ilvl w:val="0"/>
                <w:numId w:val="3"/>
              </w:numPr>
              <w:rPr>
                <w:rFonts w:ascii="Arial" w:hAnsi="Arial" w:cs="Arial"/>
                <w:sz w:val="20"/>
                <w:szCs w:val="20"/>
              </w:rPr>
            </w:pPr>
            <w:r>
              <w:rPr>
                <w:rFonts w:cs="Arial" w:ascii="Arial" w:hAnsi="Arial"/>
                <w:sz w:val="20"/>
                <w:szCs w:val="20"/>
              </w:rPr>
              <w:t>BAFA/ BAFD ou qualification équivalente ;</w:t>
            </w:r>
          </w:p>
          <w:p>
            <w:pPr>
              <w:pStyle w:val="ListParagraph"/>
              <w:widowControl w:val="false"/>
              <w:numPr>
                <w:ilvl w:val="0"/>
                <w:numId w:val="3"/>
              </w:numPr>
              <w:rPr>
                <w:rFonts w:ascii="Arial" w:hAnsi="Arial" w:cs="Arial"/>
                <w:sz w:val="20"/>
                <w:szCs w:val="20"/>
              </w:rPr>
            </w:pPr>
            <w:r>
              <w:rPr>
                <w:rFonts w:cs="Arial" w:ascii="Arial" w:hAnsi="Arial"/>
                <w:sz w:val="20"/>
                <w:szCs w:val="20"/>
              </w:rPr>
              <w:t>Psychologie de l’enfant ;</w:t>
            </w:r>
          </w:p>
          <w:p>
            <w:pPr>
              <w:pStyle w:val="ListParagraph"/>
              <w:widowControl w:val="false"/>
              <w:numPr>
                <w:ilvl w:val="0"/>
                <w:numId w:val="3"/>
              </w:numPr>
              <w:rPr>
                <w:rFonts w:ascii="Arial" w:hAnsi="Arial" w:cs="Arial"/>
                <w:sz w:val="20"/>
                <w:szCs w:val="20"/>
              </w:rPr>
            </w:pPr>
            <w:r>
              <w:rPr>
                <w:rFonts w:cs="Arial" w:ascii="Arial" w:hAnsi="Arial"/>
                <w:sz w:val="20"/>
                <w:szCs w:val="20"/>
              </w:rPr>
              <w:t>Identification des risques psycho-sociaux ;</w:t>
            </w:r>
          </w:p>
          <w:p>
            <w:pPr>
              <w:pStyle w:val="ListParagraph"/>
              <w:widowControl w:val="false"/>
              <w:numPr>
                <w:ilvl w:val="0"/>
                <w:numId w:val="3"/>
              </w:numPr>
              <w:rPr>
                <w:rFonts w:ascii="Arial" w:hAnsi="Arial" w:cs="Arial"/>
                <w:sz w:val="20"/>
                <w:szCs w:val="20"/>
              </w:rPr>
            </w:pPr>
            <w:r>
              <w:rPr>
                <w:rFonts w:cs="Arial" w:ascii="Arial" w:hAnsi="Arial"/>
                <w:sz w:val="20"/>
                <w:szCs w:val="20"/>
              </w:rPr>
              <w:t>Sécurité physique et morale des mineurs.</w:t>
            </w:r>
          </w:p>
          <w:p>
            <w:pPr>
              <w:pStyle w:val="ListParagraph"/>
              <w:widowControl w:val="false"/>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Compétences : </w:t>
            </w:r>
          </w:p>
          <w:p>
            <w:pPr>
              <w:pStyle w:val="ListParagraph"/>
              <w:widowControl w:val="false"/>
              <w:numPr>
                <w:ilvl w:val="0"/>
                <w:numId w:val="3"/>
              </w:numPr>
              <w:rPr>
                <w:rFonts w:ascii="Arial" w:hAnsi="Arial" w:cs="Arial"/>
                <w:sz w:val="20"/>
                <w:szCs w:val="20"/>
              </w:rPr>
            </w:pPr>
            <w:r>
              <w:rPr>
                <w:rFonts w:cs="Arial" w:ascii="Arial" w:hAnsi="Arial"/>
                <w:sz w:val="20"/>
                <w:szCs w:val="20"/>
              </w:rPr>
              <w:t>Animer une équipe, fédérer des énergies, créer de la cohésion ;</w:t>
            </w:r>
          </w:p>
          <w:p>
            <w:pPr>
              <w:pStyle w:val="ListParagraph"/>
              <w:widowControl w:val="false"/>
              <w:numPr>
                <w:ilvl w:val="0"/>
                <w:numId w:val="3"/>
              </w:numPr>
              <w:rPr>
                <w:rFonts w:ascii="Arial" w:hAnsi="Arial" w:cs="Arial"/>
                <w:sz w:val="20"/>
                <w:szCs w:val="20"/>
              </w:rPr>
            </w:pPr>
            <w:r>
              <w:rPr>
                <w:rFonts w:cs="Arial" w:ascii="Arial" w:hAnsi="Arial"/>
                <w:sz w:val="20"/>
                <w:szCs w:val="20"/>
              </w:rPr>
              <w:t xml:space="preserve">Capacité d’écoute et réactivité ; </w:t>
            </w:r>
          </w:p>
          <w:p>
            <w:pPr>
              <w:pStyle w:val="ListParagraph"/>
              <w:widowControl w:val="false"/>
              <w:numPr>
                <w:ilvl w:val="0"/>
                <w:numId w:val="3"/>
              </w:numPr>
              <w:rPr>
                <w:rFonts w:ascii="Arial" w:hAnsi="Arial" w:cs="Arial"/>
                <w:sz w:val="20"/>
                <w:szCs w:val="20"/>
              </w:rPr>
            </w:pPr>
            <w:r>
              <w:rPr>
                <w:rFonts w:cs="Arial" w:ascii="Arial" w:hAnsi="Arial"/>
                <w:sz w:val="20"/>
                <w:szCs w:val="20"/>
              </w:rPr>
              <w:t>Exemplarité, intégrité et rigueur dans le comportement ;</w:t>
            </w:r>
          </w:p>
          <w:p>
            <w:pPr>
              <w:pStyle w:val="ListParagraph"/>
              <w:widowControl w:val="false"/>
              <w:numPr>
                <w:ilvl w:val="0"/>
                <w:numId w:val="3"/>
              </w:numPr>
              <w:rPr>
                <w:rFonts w:ascii="Arial" w:hAnsi="Arial" w:cs="Arial"/>
                <w:sz w:val="20"/>
                <w:szCs w:val="20"/>
              </w:rPr>
            </w:pPr>
            <w:r>
              <w:rPr>
                <w:rFonts w:cs="Arial" w:ascii="Arial" w:hAnsi="Arial"/>
                <w:sz w:val="20"/>
                <w:szCs w:val="20"/>
              </w:rPr>
              <w:t>Expérience dans l’accompagnement des jeunes ;</w:t>
            </w:r>
          </w:p>
          <w:p>
            <w:pPr>
              <w:pStyle w:val="ListParagraph"/>
              <w:widowControl w:val="false"/>
              <w:numPr>
                <w:ilvl w:val="0"/>
                <w:numId w:val="3"/>
              </w:numPr>
              <w:rPr>
                <w:rFonts w:ascii="Arial" w:hAnsi="Arial" w:cs="Arial"/>
                <w:sz w:val="20"/>
                <w:szCs w:val="20"/>
              </w:rPr>
            </w:pPr>
            <w:r>
              <w:rPr>
                <w:rFonts w:cs="Arial" w:ascii="Arial" w:hAnsi="Arial"/>
                <w:sz w:val="20"/>
                <w:szCs w:val="20"/>
              </w:rPr>
              <w:t xml:space="preserve">Expérience dans l’accueil et l’accompagnement de jeunes en situation ou à besoins particuliers.  </w:t>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 xml:space="preserve">Rémunération et cadre d’emploi: </w:t>
            </w:r>
            <w:r>
              <w:rPr>
                <w:rFonts w:cs="Arial" w:ascii="Arial" w:hAnsi="Arial"/>
                <w:b w:val="false"/>
                <w:bCs w:val="false"/>
                <w:caps w:val="false"/>
                <w:smallCaps w:val="false"/>
              </w:rPr>
              <w:t xml:space="preserve">en fonction de la situation statutaire, poste ouvert aux fonctionnaires en activité, statut privé, réservistes, retraités. </w:t>
            </w:r>
          </w:p>
          <w:p>
            <w:pPr>
              <w:pStyle w:val="Titre2"/>
              <w:widowControl w:val="false"/>
              <w:rPr>
                <w:rFonts w:ascii="Arial" w:hAnsi="Arial" w:eastAsia="Times New Roman" w:cs="Arial"/>
                <w:b w:val="false"/>
                <w:b w:val="false"/>
                <w:bCs w:val="false"/>
                <w:caps w:val="false"/>
                <w:smallCaps w:val="false"/>
                <w:kern w:val="0"/>
              </w:rPr>
            </w:pPr>
            <w:r>
              <w:rPr>
                <w:rFonts w:eastAsia="Times New Roman" w:cs="Arial" w:ascii="Arial" w:hAnsi="Arial"/>
                <w:b w:val="false"/>
                <w:bCs w:val="false"/>
                <w:caps w:val="false"/>
                <w:smallCaps w:val="false"/>
                <w:kern w:val="0"/>
              </w:rPr>
              <w:t>Contrat d’engagement éducatif sur la base de 68.90€ brut par jour (hors indemnité congé payé).</w:t>
            </w:r>
          </w:p>
          <w:p>
            <w:pPr>
              <w:pStyle w:val="Normal"/>
              <w:widowControl w:val="false"/>
              <w:rPr/>
            </w:pPr>
            <w:r>
              <w:rPr/>
            </w:r>
          </w:p>
          <w:p>
            <w:pPr>
              <w:pStyle w:val="Normal"/>
              <w:widowControl w:val="false"/>
              <w:rPr/>
            </w:pPr>
            <w:r>
              <w:rPr>
                <w:rFonts w:cs="Arial" w:ascii="Arial" w:hAnsi="Arial"/>
                <w:sz w:val="20"/>
                <w:szCs w:val="20"/>
              </w:rPr>
              <w:t>Personnels relevant du MENJS ainsi que les agents publics relevant de toute administration de l’État :</w:t>
            </w:r>
            <w:r>
              <w:rPr>
                <w:rFonts w:eastAsia="Times New Roman" w:cs="Arial" w:ascii="Arial" w:hAnsi="Arial"/>
                <w:kern w:val="0"/>
                <w:sz w:val="20"/>
                <w:szCs w:val="20"/>
              </w:rPr>
              <w:t xml:space="preserve"> – Indemnité par décret </w:t>
            </w:r>
            <w:r>
              <w:rPr>
                <w:rFonts w:cs="Calibri" w:ascii="Calibri" w:hAnsi="Calibri"/>
                <w:sz w:val="22"/>
                <w:szCs w:val="22"/>
                <w:lang w:eastAsia="en-US"/>
              </w:rPr>
              <w:t xml:space="preserve">n° 2022-343 du 10 mars 2022 </w:t>
            </w:r>
            <w:r>
              <w:rPr>
                <w:rFonts w:eastAsia="Times New Roman" w:cs="Arial" w:ascii="Arial" w:hAnsi="Arial"/>
                <w:kern w:val="0"/>
                <w:sz w:val="20"/>
                <w:szCs w:val="20"/>
              </w:rPr>
              <w:t>instituant une indemnité d'encadrement du service national universel</w:t>
            </w:r>
          </w:p>
        </w:tc>
      </w:tr>
    </w:tbl>
    <w:p>
      <w:pPr>
        <w:pStyle w:val="Titre1"/>
        <w:widowControl w:val="false"/>
        <w:rPr>
          <w:rFonts w:ascii="Arial" w:hAnsi="Arial" w:cs="Arial"/>
        </w:rPr>
      </w:pPr>
      <w:r>
        <w:rPr>
          <w:rFonts w:cs="Arial" w:ascii="Arial" w:hAnsi="Arial"/>
          <w:b/>
          <w:bCs/>
          <w:smallCaps/>
          <w:sz w:val="18"/>
          <w:szCs w:val="18"/>
        </w:rPr>
        <w:t>CONTACTS RESSOURCES HUMAINES (NOM, PRÉNOM, FONCTION, TÉLÉPHONE, ADRESSE ÉLECTRONIQUE)</w:t>
      </w:r>
    </w:p>
    <w:tbl>
      <w:tblPr>
        <w:tblpPr w:bottomFromText="0" w:horzAnchor="margin" w:leftFromText="141" w:rightFromText="141" w:tblpX="0" w:tblpY="627" w:topFromText="0" w:vertAnchor="text"/>
        <w:tblW w:w="10714"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714"/>
      </w:tblGrid>
      <w:tr>
        <w:trPr/>
        <w:tc>
          <w:tcPr>
            <w:tcW w:w="10714" w:type="dxa"/>
            <w:tcBorders>
              <w:top w:val="single" w:sz="4" w:space="0" w:color="C0C0C0"/>
              <w:left w:val="single" w:sz="4" w:space="0" w:color="999999"/>
              <w:bottom w:val="single" w:sz="4" w:space="0" w:color="999999"/>
              <w:right w:val="single" w:sz="4" w:space="0" w:color="999999"/>
            </w:tcBorders>
            <w:shd w:color="auto" w:fill="D9D9D9" w:val="clear"/>
            <w:vAlign w:val="bottom"/>
          </w:tcPr>
          <w:p>
            <w:pPr>
              <w:pStyle w:val="Titre2"/>
              <w:widowControl w:val="false"/>
              <w:numPr>
                <w:ilvl w:val="0"/>
                <w:numId w:val="2"/>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7">
              <w:r>
                <w:rPr>
                  <w:rStyle w:val="LienInternet"/>
                  <w:sz w:val="20"/>
                  <w:szCs w:val="20"/>
                  <w:u w:val="single"/>
                </w:rPr>
                <w:t>Eric.tran-van-doi@guyane.pref.gouv.fr</w:t>
              </w:r>
            </w:hyperlink>
          </w:p>
        </w:tc>
      </w:tr>
      <w:tr>
        <w:trPr>
          <w:trHeight w:val="878" w:hRule="atLeast"/>
        </w:trPr>
        <w:tc>
          <w:tcPr>
            <w:tcW w:w="10714" w:type="dxa"/>
            <w:tcBorders>
              <w:left w:val="single" w:sz="4" w:space="0" w:color="999999"/>
              <w:bottom w:val="single" w:sz="4" w:space="0" w:color="999999"/>
              <w:right w:val="single" w:sz="4" w:space="0" w:color="999999"/>
            </w:tcBorders>
            <w:shd w:color="auto" w:fill="D9D9D9" w:val="clear"/>
            <w:vAlign w:val="bottom"/>
          </w:tcPr>
          <w:p>
            <w:pPr>
              <w:pStyle w:val="Normal"/>
              <w:widowControl w:val="false"/>
              <w:numPr>
                <w:ilvl w:val="0"/>
                <w:numId w:val="2"/>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8">
              <w:r>
                <w:rPr>
                  <w:rStyle w:val="LienInternet"/>
                  <w:sz w:val="20"/>
                  <w:szCs w:val="20"/>
                </w:rPr>
                <w:t>Nathalie.marie-angelique@guyane.pref.gouv.fr</w:t>
              </w:r>
            </w:hyperlink>
          </w:p>
        </w:tc>
      </w:tr>
    </w:tbl>
    <w:p>
      <w:pPr>
        <w:pStyle w:val="Normal"/>
        <w:rPr>
          <w:rFonts w:ascii="Arial" w:hAnsi="Arial" w:cs="Arial"/>
          <w:b/>
          <w:b/>
          <w:bCs/>
          <w:smallCaps/>
          <w:sz w:val="18"/>
          <w:szCs w:val="18"/>
        </w:rPr>
      </w:pPr>
      <w:r>
        <w:rPr/>
      </w:r>
    </w:p>
    <w:sectPr>
      <w:footerReference w:type="default" r:id="rId9"/>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semiHidden/>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character" w:styleId="Textenonproportionnel">
    <w:name w:val="Texte non proportionnel"/>
    <w:qFormat/>
    <w:rPr>
      <w:rFonts w:ascii="Liberation Mono" w:hAnsi="Liberation Mono" w:eastAsia="Liberation Mono" w:cs="Liberation Mono"/>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semiHidden/>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5363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mailto:Eric.tran-van-doi@guyane.pref.gouv.fr" TargetMode="External"/><Relationship Id="rId8" Type="http://schemas.openxmlformats.org/officeDocument/2006/relationships/hyperlink" Target="mailto:nathalie.marie-angelique@guyane.pref.gouv.f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3</Pages>
  <Words>1202</Words>
  <Characters>6879</Characters>
  <CharactersWithSpaces>8065</CharactersWithSpaces>
  <Paragraphs>16</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2023-12-11T09:48:15Z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