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t>R</w:t>
      </w:r>
    </w:p>
    <w:p>
      <w:pPr>
        <w:pStyle w:val="Normal"/>
        <w:jc w:val="right"/>
        <w:rPr>
          <w:rFonts w:cs="Times New Roman"/>
          <w:i/>
          <w:i/>
          <w:iCs/>
          <w:sz w:val="20"/>
          <w:szCs w:val="20"/>
        </w:rPr>
      </w:pPr>
      <w:r>
        <w:rPr/>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1619885" cy="1206500"/>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19885" cy="1206500"/>
                    </a:xfrm>
                    <a:prstGeom prst="rect">
                      <a:avLst/>
                    </a:prstGeom>
                  </pic:spPr>
                </pic:pic>
              </a:graphicData>
            </a:graphic>
          </wp:anchor>
        </w:drawing>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TimesNewRomanPS-BoldMT" w:hAnsi="TimesNewRomanPS-BoldMT" w:eastAsia="Times New Roman" w:cs="TimesNewRomanPS-BoldMT"/>
                <w:b/>
                <w:b/>
                <w:bCs/>
                <w:kern w:val="0"/>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RÉFÉR</w:t>
            </w:r>
            <w:r>
              <w:rPr>
                <w:rFonts w:cs="Arial" w:ascii="Arial" w:hAnsi="Arial"/>
                <w:b/>
                <w:caps/>
                <w:sz w:val="20"/>
                <w:szCs w:val="20"/>
              </w:rPr>
              <w:t>E</w:t>
            </w:r>
            <w:r>
              <w:rPr>
                <w:rFonts w:cs="Arial" w:ascii="Arial" w:hAnsi="Arial"/>
                <w:b/>
                <w:caps/>
                <w:sz w:val="20"/>
                <w:szCs w:val="20"/>
              </w:rPr>
              <w:t>NT « Vie COLLECTIVE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210" w:hRule="atLeast"/>
          <w:cantSplit w:val="true"/>
        </w:trPr>
        <w:tc>
          <w:tcPr>
            <w:tcW w:w="10695" w:type="dxa"/>
            <w:tcBorders>
              <w:top w:val="single" w:sz="18" w:space="0" w:color="FFFFFF"/>
              <w:left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Localisation géographique : </w:t>
            </w:r>
            <w:r>
              <w:rPr>
                <w:rFonts w:cs="Arial" w:ascii="Arial" w:hAnsi="Arial"/>
                <w:shd w:fill="auto" w:val="clear"/>
              </w:rPr>
              <w:t>GUYANE</w:t>
            </w:r>
          </w:p>
        </w:tc>
      </w:tr>
      <w:tr>
        <w:trPr>
          <w:trHeight w:val="210" w:hRule="atLeast"/>
          <w:cantSplit w:val="true"/>
        </w:trPr>
        <w:tc>
          <w:tcPr>
            <w:tcW w:w="10695" w:type="dxa"/>
            <w:tcBorders>
              <w:top w:val="single" w:sz="18" w:space="0" w:color="FFFFFF"/>
              <w:left w:val="single" w:sz="4" w:space="0" w:color="999999"/>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En 2024, 1 séjour de cohésion sera proposé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Corpsdetexte"/>
              <w:widowControl w:val="false"/>
              <w:numPr>
                <w:ilvl w:val="0"/>
                <w:numId w:val="7"/>
              </w:numPr>
              <w:tabs>
                <w:tab w:val="clear" w:pos="708"/>
                <w:tab w:val="left" w:pos="0" w:leader="none"/>
              </w:tabs>
              <w:spacing w:lineRule="auto" w:line="240" w:before="0" w:after="0"/>
              <w:ind w:left="360" w:hanging="0"/>
              <w:rPr/>
            </w:pPr>
            <w:r>
              <w:rPr>
                <w:rStyle w:val="Accentuationforte"/>
                <w:rFonts w:ascii="Arial" w:hAnsi="Arial"/>
                <w:sz w:val="20"/>
                <w:szCs w:val="20"/>
              </w:rPr>
              <w:t>Hors temps scolaire :</w:t>
            </w:r>
          </w:p>
          <w:p>
            <w:pPr>
              <w:pStyle w:val="Corpsdetexte"/>
              <w:widowControl w:val="false"/>
              <w:spacing w:lineRule="auto" w:line="240" w:before="0" w:after="0"/>
              <w:rPr>
                <w:rFonts w:ascii="Arial" w:hAnsi="Arial" w:eastAsia="Times New Roman" w:cs="Arial"/>
                <w:kern w:val="0"/>
                <w:sz w:val="20"/>
                <w:szCs w:val="20"/>
              </w:rPr>
            </w:pPr>
            <w:r>
              <w:rPr>
                <w:rStyle w:val="Textenonproportionnel"/>
                <w:rFonts w:ascii="Liberation Mono" w:hAnsi="Liberation Mono"/>
                <w:b w:val="false"/>
                <w:kern w:val="0"/>
                <w:sz w:val="20"/>
                <w:szCs w:val="20"/>
              </w:rPr>
              <w:t>Du 03 au 15</w:t>
            </w:r>
            <w:r>
              <w:rPr>
                <w:rStyle w:val="Textenonproportionnel"/>
                <w:rFonts w:ascii="Liberation Mono" w:hAnsi="Liberation Mono"/>
                <w:kern w:val="0"/>
                <w:sz w:val="20"/>
                <w:szCs w:val="20"/>
              </w:rPr>
              <w:t xml:space="preserve"> </w:t>
            </w:r>
            <w:r>
              <w:rPr>
                <w:rStyle w:val="Textenonproportionnel"/>
                <w:rFonts w:ascii="Liberation Mono" w:hAnsi="Liberation Mono"/>
                <w:b w:val="false"/>
                <w:kern w:val="0"/>
                <w:sz w:val="20"/>
                <w:szCs w:val="20"/>
              </w:rPr>
              <w:t>juillet</w:t>
            </w:r>
            <w:r>
              <w:rPr>
                <w:rStyle w:val="Textenonproportionnel"/>
                <w:rFonts w:ascii="Liberation Mono" w:hAnsi="Liberation Mono"/>
                <w:kern w:val="0"/>
                <w:sz w:val="20"/>
                <w:szCs w:val="20"/>
              </w:rPr>
              <w:t xml:space="preserve"> </w:t>
            </w:r>
            <w:r>
              <w:rPr>
                <w:rStyle w:val="Textenonproportionnel"/>
                <w:rFonts w:ascii="Liberation Mono" w:hAnsi="Liberation Mono"/>
                <w:b w:val="false"/>
                <w:kern w:val="0"/>
                <w:sz w:val="20"/>
                <w:szCs w:val="20"/>
              </w:rPr>
              <w:t>2024</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 xml:space="preserve">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pPr>
              <w:pStyle w:val="Normal"/>
              <w:widowControl w:val="false"/>
              <w:rPr>
                <w:rFonts w:ascii="Arial" w:hAnsi="Arial" w:cs="Arial"/>
                <w:b/>
                <w:b/>
                <w:sz w:val="20"/>
                <w:szCs w:val="20"/>
              </w:rPr>
            </w:pPr>
            <w:r>
              <w:rPr>
                <w:rFonts w:cs="Arial" w:ascii="Arial" w:hAnsi="Arial"/>
                <w:b/>
                <w:sz w:val="20"/>
                <w:szCs w:val="20"/>
              </w:rPr>
            </w:r>
          </w:p>
          <w:p>
            <w:pPr>
              <w:pStyle w:val="Titre2"/>
              <w:widowControl w:val="false"/>
              <w:tabs>
                <w:tab w:val="clear" w:pos="708"/>
                <w:tab w:val="left" w:pos="7830" w:leader="none"/>
                <w:tab w:val="left" w:pos="9495" w:leader="none"/>
              </w:tabs>
              <w:spacing w:before="120" w:after="120"/>
              <w:rPr>
                <w:rFonts w:ascii="Arial" w:hAnsi="Arial" w:cs="Arial"/>
              </w:rPr>
            </w:pPr>
            <w:r>
              <w:rPr>
                <w:rFonts w:eastAsia="Times New Roman" w:cs="Arial" w:ascii="Arial" w:hAnsi="Arial"/>
                <w:kern w:val="0"/>
              </w:rPr>
              <w:t>Possibilité de candidater pour une seule ou plusieurs sessions.</w:t>
            </w:r>
          </w:p>
        </w:tc>
      </w:tr>
      <w:tr>
        <w:trPr/>
        <w:tc>
          <w:tcPr>
            <w:tcW w:w="10695" w:type="dxa"/>
            <w:tcBorders>
              <w:top w:val="single" w:sz="18" w:space="0" w:color="FFFFFF"/>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w:t>
            </w:r>
            <w:r>
              <w:rPr>
                <w:rFonts w:eastAsia="Times New Roman" w:cs="Arial" w:ascii="Arial" w:hAnsi="Arial"/>
                <w:b w:val="false"/>
                <w:bCs w:val="false"/>
                <w:caps w:val="false"/>
                <w:smallCaps w:val="false"/>
                <w:kern w:val="0"/>
              </w:rPr>
              <w:t>Référents « volontaires à besoins éducatifs particuliers »</w:t>
            </w:r>
          </w:p>
        </w:tc>
      </w:tr>
      <w:tr>
        <w:trPr/>
        <w:tc>
          <w:tcPr>
            <w:tcW w:w="10695" w:type="dxa"/>
            <w:tcBorders>
              <w:top w:val="single" w:sz="4" w:space="0" w:color="999999"/>
              <w:left w:val="single" w:sz="4" w:space="0" w:color="999999"/>
              <w:right w:val="single" w:sz="4" w:space="0" w:color="999999"/>
            </w:tcBorders>
          </w:tcPr>
          <w:p>
            <w:pPr>
              <w:pStyle w:val="Titre2"/>
              <w:widowControl w:val="false"/>
              <w:spacing w:before="120" w:after="120"/>
              <w:rPr>
                <w:rFonts w:ascii="Arial" w:hAnsi="Arial" w:cs="Arial"/>
              </w:rPr>
            </w:pPr>
            <w:r>
              <w:rPr>
                <w:rFonts w:cs="Arial" w:ascii="Arial" w:hAnsi="Arial"/>
              </w:rPr>
              <w:t>Nombre de personnes à encadrer :</w:t>
            </w:r>
            <w:r>
              <w:rPr>
                <w:rFonts w:cs="Arial" w:ascii="Arial" w:hAnsi="Arial"/>
                <w:color w:val="FF0000"/>
              </w:rPr>
              <w:t xml:space="preserve"> </w:t>
            </w:r>
            <w:r>
              <w:rPr>
                <w:rFonts w:eastAsia="Times New Roman" w:cs="Arial" w:ascii="Arial" w:hAnsi="Arial"/>
                <w:bCs w:val="false"/>
                <w:caps w:val="false"/>
                <w:smallCaps w:val="false"/>
                <w:kern w:val="0"/>
              </w:rPr>
              <w:t>0</w:t>
            </w:r>
          </w:p>
        </w:tc>
      </w:tr>
      <w:tr>
        <w:trPr>
          <w:trHeight w:val="304"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Conditions particulières d’exercice :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Astreinte de nuit et logement sur site (hébergement et pension complète inclus)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Tenue obligatoire fournie pour l’encadrement du séjour</w:t>
            </w:r>
          </w:p>
          <w:p>
            <w:pPr>
              <w:pStyle w:val="Normal"/>
              <w:widowControl w:val="false"/>
              <w:rPr>
                <w:b/>
                <w:b/>
              </w:rPr>
            </w:pPr>
            <w:r>
              <w:rPr>
                <w:b/>
              </w:rPr>
            </w:r>
          </w:p>
        </w:tc>
      </w:tr>
      <w:tr>
        <w:trPr/>
        <w:tc>
          <w:tcPr>
            <w:tcW w:w="10695" w:type="dxa"/>
            <w:tcBorders>
              <w:top w:val="single" w:sz="4" w:space="0" w:color="999999"/>
              <w:left w:val="single" w:sz="4" w:space="0" w:color="999999"/>
              <w:right w:val="single" w:sz="4" w:space="0" w:color="999999"/>
            </w:tcBorders>
            <w:shd w:color="auto" w:fill="D9D9D9" w:themeFill="background1" w:themeFillShade="d9" w:val="clear"/>
          </w:tcPr>
          <w:p>
            <w:pPr>
              <w:pStyle w:val="Titre2"/>
              <w:widowControl w:val="false"/>
              <w:spacing w:before="120" w:after="120"/>
              <w:jc w:val="both"/>
              <w:rPr>
                <w:rFonts w:ascii="Arial" w:hAnsi="Arial" w:cs="Arial"/>
              </w:rPr>
            </w:pPr>
            <w:r>
              <w:rPr>
                <w:rFonts w:cs="Arial" w:ascii="Arial" w:hAnsi="Arial"/>
                <w:u w:val="single"/>
              </w:rPr>
              <w:t>Description du dispositif</w:t>
            </w:r>
            <w:r>
              <w:rPr>
                <w:rFonts w:cs="Arial" w:ascii="Arial" w:hAnsi="Arial"/>
              </w:rPr>
              <w:t xml:space="preserve">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bookmarkStart w:id="0" w:name="_GoBack"/>
            <w:bookmarkStart w:id="1" w:name="_GoBack"/>
            <w:bookmarkEnd w:id="1"/>
          </w:p>
          <w:p>
            <w:pPr>
              <w:pStyle w:val="ListParagraph"/>
              <w:widowControl w:val="false"/>
              <w:numPr>
                <w:ilvl w:val="0"/>
                <w:numId w:val="3"/>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3"/>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3"/>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SNU s’adresse aux jeunes entre 15 à 17 ans sur la base du volontariat.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9"/>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9"/>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 xml:space="preserve">. </w:t>
            </w:r>
          </w:p>
          <w:p>
            <w:pPr>
              <w:pStyle w:val="Normal"/>
              <w:widowControl w:val="false"/>
              <w:rPr/>
            </w:pPr>
            <w:r>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p>
            <w:pPr>
              <w:pStyle w:val="Normal"/>
              <w:widowControl w:val="false"/>
              <w:jc w:val="both"/>
              <w:rPr>
                <w:rFonts w:ascii="Arial" w:hAnsi="Arial" w:cs="Arial"/>
                <w:b/>
                <w:b/>
                <w:sz w:val="20"/>
                <w:szCs w:val="20"/>
              </w:rPr>
            </w:pPr>
            <w:r>
              <w:rPr>
                <w:rFonts w:cs="Arial" w:ascii="Arial" w:hAnsi="Arial"/>
                <w:b/>
                <w:sz w:val="20"/>
                <w:szCs w:val="20"/>
              </w:rPr>
            </w:r>
          </w:p>
        </w:tc>
      </w:tr>
      <w:tr>
        <w:trPr>
          <w:trHeight w:val="80" w:hRule="atLeast"/>
        </w:trPr>
        <w:tc>
          <w:tcPr>
            <w:tcW w:w="10695" w:type="dxa"/>
            <w:tcBorders>
              <w:left w:val="single" w:sz="4" w:space="0" w:color="999999"/>
              <w:bottom w:val="single" w:sz="4" w:space="0" w:color="999999"/>
              <w:right w:val="single" w:sz="4" w:space="0" w:color="999999"/>
            </w:tcBorders>
            <w:shd w:color="auto" w:fill="D9D9D9" w:val="clear"/>
          </w:tcPr>
          <w:p>
            <w:pPr>
              <w:pStyle w:val="Normal"/>
              <w:widowControl w:val="false"/>
              <w:jc w:val="both"/>
              <w:rPr>
                <w:rFonts w:ascii="Arial" w:hAnsi="Arial" w:cs="Arial"/>
                <w:sz w:val="20"/>
                <w:szCs w:val="20"/>
              </w:rPr>
            </w:pPr>
            <w:r>
              <w:rPr>
                <w:rFonts w:cs="Arial" w:ascii="Arial" w:hAnsi="Arial"/>
                <w:sz w:val="20"/>
                <w:szCs w:val="20"/>
              </w:rPr>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 xml:space="preserve">Descriptif de la structure :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 :</w:t>
            </w:r>
            <w:r>
              <w:rPr>
                <w:rFonts w:cs="Arial" w:ascii="Arial" w:hAnsi="Arial"/>
              </w:rPr>
              <w:t xml:space="preserve">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2"/>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2"/>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les activités,</w:t>
            </w:r>
          </w:p>
          <w:p>
            <w:pPr>
              <w:pStyle w:val="ListParagraph"/>
              <w:widowControl w:val="false"/>
              <w:jc w:val="both"/>
              <w:rPr>
                <w:rFonts w:ascii="Arial" w:hAnsi="Arial" w:cs="Arial"/>
                <w:sz w:val="20"/>
                <w:szCs w:val="20"/>
              </w:rPr>
            </w:pPr>
            <w:r>
              <w:rPr>
                <w:rFonts w:cs="Arial" w:ascii="Arial" w:hAnsi="Arial"/>
                <w:sz w:val="20"/>
                <w:szCs w:val="20"/>
              </w:rPr>
              <w:t>l’approche pédagogique et le volet sanitaires.. (2 ou 3 en fonction de la taille des centres)</w:t>
            </w:r>
          </w:p>
          <w:p>
            <w:pPr>
              <w:pStyle w:val="ListParagraph"/>
              <w:widowControl w:val="false"/>
              <w:numPr>
                <w:ilvl w:val="0"/>
                <w:numId w:val="2"/>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2"/>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2"/>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rPr>
            </w:pPr>
            <w:r>
              <w:rPr>
                <w:rFonts w:cs="Arial" w:ascii="Arial" w:hAnsi="Arial"/>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Normal"/>
              <w:widowControl w:val="false"/>
              <w:jc w:val="both"/>
              <w:rPr>
                <w:rFonts w:ascii="Arial" w:hAnsi="Arial" w:cs="Arial"/>
                <w:sz w:val="20"/>
                <w:szCs w:val="20"/>
              </w:rPr>
            </w:pPr>
            <w:r>
              <w:rPr>
                <w:rFonts w:cs="Arial" w:ascii="Arial" w:hAnsi="Arial"/>
                <w:sz w:val="20"/>
                <w:szCs w:val="20"/>
              </w:rPr>
              <w:t xml:space="preserve">Le référent « vie collective » mène des actions de prévention pour sécuriser l’inclusion de tous les jeunes et prévenir les risques de rupture de séjour. Il coordonne par ailleurs la mise en place des créneaux de démocratie interne. </w:t>
            </w:r>
          </w:p>
          <w:p>
            <w:pPr>
              <w:pStyle w:val="Normal"/>
              <w:widowControl w:val="false"/>
              <w:jc w:val="both"/>
              <w:rPr>
                <w:rFonts w:ascii="Arial" w:hAnsi="Arial" w:cs="Arial"/>
                <w:sz w:val="20"/>
                <w:szCs w:val="20"/>
              </w:rPr>
            </w:pPr>
            <w:r>
              <w:rPr>
                <w:rFonts w:cs="Arial" w:ascii="Arial" w:hAnsi="Arial"/>
                <w:sz w:val="20"/>
                <w:szCs w:val="20"/>
              </w:rPr>
              <w:t>Il n’est pas en responsabilité d’un groupe, il est aux côtés des tuteurs de maisonnées et agit sous l’autorité du chef de centre.</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rPr>
            </w:pPr>
            <w:r>
              <w:rPr>
                <w:rFonts w:cs="Arial" w:ascii="Arial" w:hAnsi="Arial"/>
                <w:sz w:val="20"/>
                <w:szCs w:val="20"/>
              </w:rPr>
              <w:t>Il assure les missions suivantes: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ListParagraph"/>
              <w:widowControl w:val="false"/>
              <w:numPr>
                <w:ilvl w:val="0"/>
                <w:numId w:val="7"/>
              </w:numPr>
              <w:jc w:val="both"/>
              <w:rPr>
                <w:rFonts w:ascii="Arial" w:hAnsi="Arial" w:cs="Arial"/>
                <w:sz w:val="20"/>
                <w:szCs w:val="20"/>
                <w:u w:val="single"/>
              </w:rPr>
            </w:pPr>
            <w:r>
              <w:rPr>
                <w:rFonts w:cs="Arial" w:ascii="Arial" w:hAnsi="Arial"/>
                <w:sz w:val="20"/>
                <w:szCs w:val="20"/>
                <w:u w:val="single"/>
              </w:rPr>
              <w:t>Pour favoriser le vivre ensemble et l’inclusion de tous les jeunes volontaires</w:t>
            </w:r>
          </w:p>
          <w:p>
            <w:pPr>
              <w:pStyle w:val="ListParagraph"/>
              <w:widowControl w:val="false"/>
              <w:numPr>
                <w:ilvl w:val="0"/>
                <w:numId w:val="8"/>
              </w:numPr>
              <w:jc w:val="both"/>
              <w:rPr>
                <w:rFonts w:ascii="Arial" w:hAnsi="Arial" w:cs="Arial"/>
                <w:sz w:val="20"/>
                <w:szCs w:val="20"/>
              </w:rPr>
            </w:pPr>
            <w:r>
              <w:rPr>
                <w:rFonts w:cs="Arial" w:ascii="Arial" w:hAnsi="Arial"/>
                <w:sz w:val="20"/>
                <w:szCs w:val="20"/>
              </w:rPr>
              <w:t>Il coordonne la mise en place des temps de démocratie interne, l’organisation du conseil de vie du séjour (CVDS) et encourage les initiatives des volontaires dans ce domaine ;</w:t>
            </w:r>
          </w:p>
          <w:p>
            <w:pPr>
              <w:pStyle w:val="ListParagraph"/>
              <w:widowControl w:val="false"/>
              <w:numPr>
                <w:ilvl w:val="0"/>
                <w:numId w:val="8"/>
              </w:numPr>
              <w:jc w:val="both"/>
              <w:rPr>
                <w:rFonts w:ascii="Arial" w:hAnsi="Arial" w:cs="Arial"/>
                <w:sz w:val="20"/>
                <w:szCs w:val="20"/>
              </w:rPr>
            </w:pPr>
            <w:r>
              <w:rPr>
                <w:rFonts w:cs="Arial" w:ascii="Arial" w:hAnsi="Arial"/>
                <w:sz w:val="20"/>
                <w:szCs w:val="20"/>
              </w:rPr>
              <w:t>Il contribue à expliciter, faire comprendre et accepter le règlement intérieur et les règles de vie en vigueur au sein du centre ;</w:t>
            </w:r>
          </w:p>
          <w:p>
            <w:pPr>
              <w:pStyle w:val="ListParagraph"/>
              <w:widowControl w:val="false"/>
              <w:numPr>
                <w:ilvl w:val="0"/>
                <w:numId w:val="8"/>
              </w:numPr>
              <w:jc w:val="both"/>
              <w:rPr>
                <w:rFonts w:ascii="Arial" w:hAnsi="Arial" w:cs="Arial"/>
                <w:sz w:val="20"/>
                <w:szCs w:val="20"/>
              </w:rPr>
            </w:pPr>
            <w:r>
              <w:rPr>
                <w:rFonts w:cs="Arial" w:ascii="Arial" w:hAnsi="Arial"/>
                <w:sz w:val="20"/>
                <w:szCs w:val="20"/>
              </w:rPr>
              <w:t>Dès le début du séjour, il repère les situations problématiques et sous l’autorité du chef de centre, s’assure de leur prise en charge par l’encadrement compétent, en particulier en ce qui concerne l’inclusion des volontaires à besoins particuliers ;</w:t>
            </w:r>
          </w:p>
          <w:p>
            <w:pPr>
              <w:pStyle w:val="ListParagraph"/>
              <w:widowControl w:val="false"/>
              <w:numPr>
                <w:ilvl w:val="0"/>
                <w:numId w:val="8"/>
              </w:numPr>
              <w:jc w:val="both"/>
              <w:rPr>
                <w:rFonts w:ascii="Arial" w:hAnsi="Arial" w:cs="Arial"/>
                <w:sz w:val="20"/>
                <w:szCs w:val="20"/>
              </w:rPr>
            </w:pPr>
            <w:r>
              <w:rPr>
                <w:rFonts w:cs="Arial" w:ascii="Arial" w:hAnsi="Arial"/>
                <w:sz w:val="20"/>
                <w:szCs w:val="20"/>
              </w:rPr>
              <w:t>Il rend compte des situations des jeunes en difficulté d’adaptation aux règles collectives du séjour ;</w:t>
            </w:r>
          </w:p>
          <w:p>
            <w:pPr>
              <w:pStyle w:val="ListParagraph"/>
              <w:widowControl w:val="false"/>
              <w:numPr>
                <w:ilvl w:val="0"/>
                <w:numId w:val="8"/>
              </w:numPr>
              <w:jc w:val="both"/>
              <w:rPr>
                <w:rFonts w:ascii="Arial" w:hAnsi="Arial" w:cs="Arial"/>
                <w:sz w:val="20"/>
                <w:szCs w:val="20"/>
              </w:rPr>
            </w:pPr>
            <w:r>
              <w:rPr>
                <w:rFonts w:cs="Arial" w:ascii="Arial" w:hAnsi="Arial"/>
                <w:sz w:val="20"/>
                <w:szCs w:val="20"/>
              </w:rPr>
              <w:t>Il peut, en complément des encadrants compétents (cadre de compagnie, référent sanitaire…), assurer un rôle d’écoute et d’orientation des volontaires en difficulté ;</w:t>
            </w:r>
          </w:p>
          <w:p>
            <w:pPr>
              <w:pStyle w:val="ListParagraph"/>
              <w:widowControl w:val="false"/>
              <w:numPr>
                <w:ilvl w:val="0"/>
                <w:numId w:val="8"/>
              </w:numPr>
              <w:jc w:val="both"/>
              <w:rPr>
                <w:rFonts w:ascii="Arial" w:hAnsi="Arial" w:cs="Arial"/>
              </w:rPr>
            </w:pPr>
            <w:r>
              <w:rPr>
                <w:rFonts w:cs="Arial" w:ascii="Arial" w:hAnsi="Arial"/>
                <w:sz w:val="20"/>
                <w:szCs w:val="20"/>
              </w:rPr>
              <w:t xml:space="preserve">Le référent vie collective est le </w:t>
            </w:r>
            <w:r>
              <w:rPr>
                <w:rFonts w:cs="Arial" w:ascii="Arial" w:hAnsi="Arial"/>
                <w:b/>
                <w:sz w:val="20"/>
                <w:szCs w:val="20"/>
              </w:rPr>
              <w:t>référent harcèlement</w:t>
            </w:r>
            <w:r>
              <w:rPr>
                <w:rFonts w:cs="Arial" w:ascii="Arial" w:hAnsi="Arial"/>
                <w:sz w:val="20"/>
                <w:szCs w:val="20"/>
              </w:rPr>
              <w:t xml:space="preserve"> du séjour de cohésion (repérage, orientation éventuelle, prise en charge de situations…).</w:t>
            </w:r>
          </w:p>
          <w:p>
            <w:pPr>
              <w:pStyle w:val="ListParagraph"/>
              <w:widowControl w:val="false"/>
              <w:numPr>
                <w:ilvl w:val="0"/>
                <w:numId w:val="0"/>
              </w:numPr>
              <w:ind w:left="1800" w:hanging="0"/>
              <w:jc w:val="both"/>
              <w:rPr>
                <w:rFonts w:ascii="Arial" w:hAnsi="Arial" w:cs="Arial"/>
              </w:rPr>
            </w:pPr>
            <w:r>
              <w:rPr>
                <w:rFonts w:cs="Arial" w:ascii="Arial" w:hAnsi="Arial"/>
              </w:rPr>
            </w:r>
          </w:p>
          <w:p>
            <w:pPr>
              <w:pStyle w:val="ListParagraph"/>
              <w:widowControl w:val="false"/>
              <w:numPr>
                <w:ilvl w:val="0"/>
                <w:numId w:val="7"/>
              </w:numPr>
              <w:jc w:val="both"/>
              <w:rPr>
                <w:rFonts w:ascii="Arial" w:hAnsi="Arial" w:cs="Arial"/>
                <w:sz w:val="20"/>
                <w:szCs w:val="20"/>
              </w:rPr>
            </w:pPr>
            <w:r>
              <w:rPr>
                <w:rFonts w:cs="Arial" w:ascii="Arial" w:hAnsi="Arial"/>
                <w:sz w:val="20"/>
                <w:szCs w:val="20"/>
                <w:u w:val="single"/>
              </w:rPr>
              <w:t>Comme l’ensemble des tuteurs, il doit :</w:t>
            </w:r>
            <w:r>
              <w:rPr>
                <w:rFonts w:cs="Arial" w:ascii="Arial" w:hAnsi="Arial"/>
                <w:sz w:val="20"/>
                <w:szCs w:val="20"/>
              </w:rPr>
              <w:t xml:space="preserve"> </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6"/>
              </w:numPr>
              <w:jc w:val="both"/>
              <w:rPr>
                <w:rFonts w:ascii="Arial" w:hAnsi="Arial" w:cs="Arial"/>
                <w:sz w:val="20"/>
                <w:szCs w:val="20"/>
              </w:rPr>
            </w:pPr>
            <w:r>
              <w:rPr>
                <w:rFonts w:cs="Arial" w:ascii="Arial" w:hAnsi="Arial"/>
                <w:sz w:val="20"/>
                <w:szCs w:val="20"/>
              </w:rPr>
              <w:t>Tenir des messages de prévention des conduites addictives ;</w:t>
            </w:r>
          </w:p>
          <w:p>
            <w:pPr>
              <w:pStyle w:val="ListParagraph"/>
              <w:widowControl w:val="false"/>
              <w:numPr>
                <w:ilvl w:val="0"/>
                <w:numId w:val="6"/>
              </w:numPr>
              <w:jc w:val="both"/>
              <w:rPr>
                <w:rFonts w:ascii="Arial" w:hAnsi="Arial" w:cs="Arial"/>
                <w:sz w:val="20"/>
                <w:szCs w:val="20"/>
              </w:rPr>
            </w:pPr>
            <w:r>
              <w:rPr>
                <w:rFonts w:cs="Arial" w:ascii="Arial" w:hAnsi="Arial"/>
                <w:sz w:val="20"/>
                <w:szCs w:val="20"/>
              </w:rPr>
              <w:t>Signaler aux cadres de compagnie tous les manquements disciplinaires ;</w:t>
            </w:r>
          </w:p>
          <w:p>
            <w:pPr>
              <w:pStyle w:val="ListParagraph"/>
              <w:widowControl w:val="false"/>
              <w:numPr>
                <w:ilvl w:val="0"/>
                <w:numId w:val="6"/>
              </w:numPr>
              <w:jc w:val="both"/>
              <w:rPr>
                <w:rFonts w:ascii="Arial" w:hAnsi="Arial" w:cs="Arial"/>
                <w:sz w:val="20"/>
                <w:szCs w:val="20"/>
              </w:rPr>
            </w:pPr>
            <w:r>
              <w:rPr>
                <w:rFonts w:cs="Arial" w:ascii="Arial" w:hAnsi="Arial"/>
                <w:sz w:val="20"/>
                <w:szCs w:val="20"/>
              </w:rPr>
              <w:t>Gérer les difficultés interpersonnelles, les conflits ;</w:t>
            </w:r>
          </w:p>
          <w:p>
            <w:pPr>
              <w:pStyle w:val="ListParagraph"/>
              <w:widowControl w:val="false"/>
              <w:numPr>
                <w:ilvl w:val="0"/>
                <w:numId w:val="6"/>
              </w:numPr>
              <w:jc w:val="both"/>
              <w:rPr>
                <w:rFonts w:ascii="Arial" w:hAnsi="Arial" w:cs="Arial"/>
                <w:sz w:val="20"/>
                <w:szCs w:val="20"/>
              </w:rPr>
            </w:pPr>
            <w:r>
              <w:rPr>
                <w:rFonts w:cs="Arial" w:ascii="Arial" w:hAnsi="Arial"/>
                <w:sz w:val="20"/>
                <w:szCs w:val="20"/>
              </w:rPr>
              <w:t>Veiller à la sécurité des jeunes en faisant respecter les règles de sécurité et le règlement intérieur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r>
          </w:p>
        </w:tc>
      </w:tr>
      <w:tr>
        <w:trPr>
          <w:trHeight w:val="520" w:hRule="atLeast"/>
        </w:trPr>
        <w:tc>
          <w:tcPr>
            <w:tcW w:w="10695" w:type="dxa"/>
            <w:tcBorders>
              <w:left w:val="single" w:sz="4" w:space="0" w:color="999999"/>
              <w:bottom w:val="single" w:sz="4" w:space="0" w:color="999999"/>
              <w:right w:val="single" w:sz="4" w:space="0" w:color="999999"/>
            </w:tcBorders>
            <w:shd w:color="auto" w:fill="auto" w:val="clear"/>
          </w:tcPr>
          <w:p>
            <w:pPr>
              <w:pStyle w:val="Titre2"/>
              <w:widowControl w:val="false"/>
              <w:spacing w:before="120" w:after="120"/>
              <w:rPr>
                <w:rFonts w:ascii="Arial" w:hAnsi="Arial" w:cs="Arial"/>
                <w:shd w:fill="FFFFFF" w:val="clear"/>
              </w:rPr>
            </w:pPr>
            <w:r>
              <w:rPr>
                <w:rFonts w:cs="Arial" w:ascii="Arial" w:hAnsi="Arial"/>
              </w:rPr>
              <w:t>Les connaissances et compétences mises en œuvre</w:t>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Qualifications :</w:t>
            </w:r>
          </w:p>
          <w:p>
            <w:pPr>
              <w:pStyle w:val="ListParagraph"/>
              <w:widowControl w:val="false"/>
              <w:numPr>
                <w:ilvl w:val="0"/>
                <w:numId w:val="5"/>
              </w:numPr>
              <w:rPr>
                <w:rFonts w:ascii="Arial" w:hAnsi="Arial" w:cs="Arial"/>
                <w:sz w:val="20"/>
              </w:rPr>
            </w:pPr>
            <w:r>
              <w:rPr>
                <w:rFonts w:cs="Arial" w:ascii="Arial" w:hAnsi="Arial"/>
                <w:sz w:val="20"/>
              </w:rPr>
              <w:t>Être titulaire du BAFA au minimum (ou d’un diplôme figurant dans la liste de l’arrêté du 9 février 2007 (titres et diplômes permettant d’exercer en ACM) avec un approfondissement portant sur le handicap</w:t>
            </w:r>
          </w:p>
          <w:p>
            <w:pPr>
              <w:pStyle w:val="ListParagraph"/>
              <w:widowControl w:val="false"/>
              <w:numPr>
                <w:ilvl w:val="0"/>
                <w:numId w:val="5"/>
              </w:numPr>
              <w:rPr>
                <w:rFonts w:ascii="Arial" w:hAnsi="Arial" w:cs="Arial"/>
                <w:sz w:val="20"/>
              </w:rPr>
            </w:pPr>
            <w:r>
              <w:rPr>
                <w:rFonts w:cs="Arial" w:ascii="Arial" w:hAnsi="Arial"/>
                <w:sz w:val="20"/>
              </w:rPr>
              <w:t>Être titulaire de l’attestation de formation PSC1</w:t>
            </w:r>
          </w:p>
          <w:p>
            <w:pPr>
              <w:pStyle w:val="Normal"/>
              <w:widowControl w:val="false"/>
              <w:rPr>
                <w:rFonts w:ascii="Arial" w:hAnsi="Arial" w:cs="Arial"/>
                <w:sz w:val="20"/>
              </w:rPr>
            </w:pPr>
            <w:r>
              <w:rPr>
                <w:rFonts w:cs="Arial" w:ascii="Arial" w:hAnsi="Arial"/>
                <w:sz w:val="20"/>
              </w:rPr>
            </w:r>
          </w:p>
          <w:p>
            <w:pPr>
              <w:pStyle w:val="Titre2"/>
              <w:widowControl w:val="false"/>
              <w:rPr>
                <w:rFonts w:ascii="Arial" w:hAnsi="Arial" w:cs="Arial"/>
              </w:rPr>
            </w:pPr>
            <w:r>
              <w:rPr>
                <w:rFonts w:cs="Arial" w:ascii="Arial" w:hAnsi="Arial"/>
              </w:rPr>
              <w:t>Connaissances :</w:t>
            </w:r>
          </w:p>
          <w:p>
            <w:pPr>
              <w:pStyle w:val="Normal"/>
              <w:widowControl w:val="false"/>
              <w:rPr>
                <w:rFonts w:ascii="Arial" w:hAnsi="Arial" w:cs="Arial"/>
                <w:sz w:val="20"/>
                <w:szCs w:val="20"/>
              </w:rPr>
            </w:pPr>
            <w:r>
              <w:rPr>
                <w:rFonts w:cs="Arial" w:ascii="Arial" w:hAnsi="Arial"/>
                <w:sz w:val="20"/>
                <w:szCs w:val="20"/>
              </w:rPr>
              <w:t xml:space="preserve"> </w:t>
            </w:r>
          </w:p>
          <w:p>
            <w:pPr>
              <w:pStyle w:val="ListParagraph"/>
              <w:widowControl w:val="false"/>
              <w:numPr>
                <w:ilvl w:val="0"/>
                <w:numId w:val="2"/>
              </w:numPr>
              <w:rPr>
                <w:rFonts w:ascii="Arial" w:hAnsi="Arial" w:cs="Arial"/>
                <w:sz w:val="20"/>
                <w:szCs w:val="20"/>
              </w:rPr>
            </w:pPr>
            <w:r>
              <w:rPr>
                <w:rFonts w:cs="Arial" w:ascii="Arial" w:hAnsi="Arial"/>
                <w:sz w:val="20"/>
                <w:szCs w:val="20"/>
              </w:rPr>
              <w:t>Premiers secours en santé mentale ;</w:t>
            </w:r>
          </w:p>
          <w:p>
            <w:pPr>
              <w:pStyle w:val="ListParagraph"/>
              <w:widowControl w:val="false"/>
              <w:numPr>
                <w:ilvl w:val="0"/>
                <w:numId w:val="2"/>
              </w:numPr>
              <w:rPr>
                <w:rFonts w:ascii="Arial" w:hAnsi="Arial" w:cs="Arial"/>
                <w:sz w:val="20"/>
                <w:szCs w:val="20"/>
              </w:rPr>
            </w:pPr>
            <w:r>
              <w:rPr>
                <w:rFonts w:cs="Arial" w:ascii="Arial" w:hAnsi="Arial"/>
                <w:sz w:val="20"/>
                <w:szCs w:val="20"/>
              </w:rPr>
              <w:t>Psychologie de l’enfant ;</w:t>
            </w:r>
          </w:p>
          <w:p>
            <w:pPr>
              <w:pStyle w:val="ListParagraph"/>
              <w:widowControl w:val="false"/>
              <w:numPr>
                <w:ilvl w:val="0"/>
                <w:numId w:val="2"/>
              </w:numPr>
              <w:rPr>
                <w:rFonts w:ascii="Arial" w:hAnsi="Arial" w:cs="Arial"/>
                <w:sz w:val="20"/>
                <w:szCs w:val="20"/>
              </w:rPr>
            </w:pPr>
            <w:r>
              <w:rPr>
                <w:rFonts w:cs="Arial" w:ascii="Arial" w:hAnsi="Arial"/>
                <w:sz w:val="20"/>
                <w:szCs w:val="20"/>
              </w:rPr>
              <w:t>Identification des risques psycho-sociaux ;</w:t>
            </w:r>
          </w:p>
          <w:p>
            <w:pPr>
              <w:pStyle w:val="ListParagraph"/>
              <w:widowControl w:val="false"/>
              <w:numPr>
                <w:ilvl w:val="0"/>
                <w:numId w:val="2"/>
              </w:numPr>
              <w:rPr>
                <w:rFonts w:ascii="Arial" w:hAnsi="Arial" w:cs="Arial"/>
                <w:sz w:val="20"/>
                <w:szCs w:val="20"/>
              </w:rPr>
            </w:pPr>
            <w:r>
              <w:rPr>
                <w:rFonts w:cs="Arial" w:ascii="Arial" w:hAnsi="Arial"/>
                <w:sz w:val="20"/>
                <w:szCs w:val="20"/>
              </w:rPr>
              <w:t>Sécurité physique et morale des mineurs.</w:t>
            </w:r>
          </w:p>
          <w:p>
            <w:pPr>
              <w:pStyle w:val="ListParagraph"/>
              <w:widowControl w:val="false"/>
              <w:rPr>
                <w:rFonts w:ascii="Arial" w:hAnsi="Arial" w:cs="Arial"/>
                <w:sz w:val="20"/>
                <w:szCs w:val="20"/>
                <w:highlight w:val="yellow"/>
              </w:rPr>
            </w:pPr>
            <w:r>
              <w:rPr>
                <w:rFonts w:cs="Arial" w:ascii="Arial" w:hAnsi="Arial"/>
                <w:bCs/>
                <w:sz w:val="20"/>
                <w:szCs w:val="20"/>
                <w:highlight w:val="yellow"/>
              </w:rPr>
              <w:t xml:space="preserve"> </w:t>
            </w:r>
          </w:p>
          <w:p>
            <w:pPr>
              <w:pStyle w:val="ListParagraph"/>
              <w:widowControl w:val="false"/>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Compétences : </w:t>
            </w:r>
          </w:p>
          <w:p>
            <w:pPr>
              <w:pStyle w:val="ListParagraph"/>
              <w:widowControl w:val="false"/>
              <w:numPr>
                <w:ilvl w:val="0"/>
                <w:numId w:val="2"/>
              </w:numPr>
              <w:rPr>
                <w:rFonts w:ascii="Arial" w:hAnsi="Arial" w:cs="Arial"/>
                <w:sz w:val="20"/>
                <w:szCs w:val="20"/>
              </w:rPr>
            </w:pPr>
            <w:r>
              <w:rPr>
                <w:rFonts w:cs="Arial" w:ascii="Arial" w:hAnsi="Arial"/>
                <w:sz w:val="20"/>
                <w:szCs w:val="20"/>
              </w:rPr>
              <w:t>Animer une équipe, fédérer des énergies, créer de la cohésion ;</w:t>
            </w:r>
          </w:p>
          <w:p>
            <w:pPr>
              <w:pStyle w:val="ListParagraph"/>
              <w:widowControl w:val="false"/>
              <w:numPr>
                <w:ilvl w:val="0"/>
                <w:numId w:val="2"/>
              </w:numPr>
              <w:rPr>
                <w:rFonts w:ascii="Arial" w:hAnsi="Arial" w:cs="Arial"/>
                <w:sz w:val="20"/>
                <w:szCs w:val="20"/>
              </w:rPr>
            </w:pPr>
            <w:r>
              <w:rPr>
                <w:rFonts w:cs="Arial" w:ascii="Arial" w:hAnsi="Arial"/>
                <w:sz w:val="20"/>
                <w:szCs w:val="20"/>
              </w:rPr>
              <w:t>Capacité d’écoute et réactivité ;</w:t>
            </w:r>
          </w:p>
          <w:p>
            <w:pPr>
              <w:pStyle w:val="ListParagraph"/>
              <w:widowControl w:val="false"/>
              <w:numPr>
                <w:ilvl w:val="0"/>
                <w:numId w:val="2"/>
              </w:numPr>
              <w:rPr>
                <w:rFonts w:ascii="Arial" w:hAnsi="Arial" w:cs="Arial"/>
                <w:sz w:val="20"/>
                <w:szCs w:val="20"/>
              </w:rPr>
            </w:pPr>
            <w:r>
              <w:rPr>
                <w:rFonts w:cs="Arial" w:ascii="Arial" w:hAnsi="Arial"/>
                <w:sz w:val="20"/>
                <w:szCs w:val="20"/>
              </w:rPr>
              <w:t>Exemplarité, intégrité et rigueur dans le comportement ;</w:t>
            </w:r>
          </w:p>
          <w:p>
            <w:pPr>
              <w:pStyle w:val="ListParagraph"/>
              <w:widowControl w:val="false"/>
              <w:numPr>
                <w:ilvl w:val="0"/>
                <w:numId w:val="2"/>
              </w:numPr>
              <w:rPr>
                <w:rFonts w:ascii="Arial" w:hAnsi="Arial" w:cs="Arial"/>
                <w:sz w:val="20"/>
                <w:szCs w:val="20"/>
              </w:rPr>
            </w:pPr>
            <w:r>
              <w:rPr>
                <w:rFonts w:cs="Arial" w:ascii="Arial" w:hAnsi="Arial"/>
                <w:sz w:val="20"/>
                <w:szCs w:val="20"/>
              </w:rPr>
              <w:t>Expérience dans l’encadrement des adolescents ;</w:t>
            </w:r>
          </w:p>
          <w:p>
            <w:pPr>
              <w:pStyle w:val="ListParagraph"/>
              <w:widowControl w:val="false"/>
              <w:numPr>
                <w:ilvl w:val="0"/>
                <w:numId w:val="2"/>
              </w:numPr>
              <w:rPr>
                <w:rFonts w:ascii="Arial" w:hAnsi="Arial" w:cs="Arial"/>
                <w:sz w:val="20"/>
                <w:szCs w:val="20"/>
              </w:rPr>
            </w:pPr>
            <w:r>
              <w:rPr>
                <w:rFonts w:cs="Arial" w:ascii="Arial" w:hAnsi="Arial"/>
                <w:sz w:val="20"/>
                <w:szCs w:val="20"/>
              </w:rPr>
              <w:t xml:space="preserve">Expérience dans l’accueil et l’accompagnement de jeunes en situation ou à besoins particuliers.  </w:t>
            </w:r>
          </w:p>
        </w:tc>
      </w:tr>
      <w:tr>
        <w:trPr>
          <w:trHeight w:val="2050"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 xml:space="preserve">Rémunération et cadre d’emploi : </w:t>
            </w:r>
            <w:r>
              <w:rPr>
                <w:rFonts w:cs="Arial" w:ascii="Arial" w:hAnsi="Arial"/>
                <w:b w:val="false"/>
                <w:bCs w:val="false"/>
                <w:caps w:val="false"/>
                <w:smallCaps w:val="false"/>
              </w:rPr>
              <w:t>en fonction de la situation statutaire, poste ouvert aux fonctionnaires en activité, statut privé, réservistes, retraités.</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91.90€ brut par jour (hors indemnité congé payé).</w:t>
            </w:r>
          </w:p>
          <w:p>
            <w:pPr>
              <w:pStyle w:val="Normal"/>
              <w:widowControl w:val="false"/>
              <w:rPr/>
            </w:pPr>
            <w:r>
              <w:rPr/>
            </w:r>
          </w:p>
          <w:p>
            <w:pPr>
              <w:pStyle w:val="Normal"/>
              <w:widowControl w:val="false"/>
              <w:rPr/>
            </w:pPr>
            <w:r>
              <w:rPr>
                <w:rFonts w:cs="Arial" w:ascii="Arial" w:hAnsi="Arial"/>
                <w:sz w:val="20"/>
                <w:szCs w:val="20"/>
              </w:rPr>
              <w:t>Personnels relevant du MENJS ainsi que les agents publics relevant de toute administration de l’État</w:t>
            </w:r>
            <w:r>
              <w:rPr>
                <w:rFonts w:eastAsia="Times New Roman" w:cs="Arial" w:ascii="Arial" w:hAnsi="Arial"/>
                <w:kern w:val="0"/>
                <w:sz w:val="20"/>
                <w:szCs w:val="20"/>
              </w:rPr>
              <w:t xml:space="preserve"> : – Indemnité par décret </w:t>
            </w:r>
            <w:r>
              <w:rPr>
                <w:rFonts w:cs="Calibri" w:ascii="Calibri" w:hAnsi="Calibri"/>
                <w:sz w:val="22"/>
                <w:szCs w:val="22"/>
                <w:lang w:eastAsia="en-US"/>
              </w:rPr>
              <w:t xml:space="preserve">n° 2022-343 du 10 mars 2022 </w:t>
            </w:r>
            <w:r>
              <w:rPr>
                <w:rFonts w:eastAsia="Times New Roman" w:cs="Arial" w:ascii="Arial" w:hAnsi="Arial"/>
                <w:kern w:val="0"/>
                <w:sz w:val="20"/>
                <w:szCs w:val="20"/>
              </w:rPr>
              <w:t>instituant une indemnité d'encadrement du service national universel</w:t>
            </w:r>
          </w:p>
        </w:tc>
      </w:tr>
    </w:tbl>
    <w:p>
      <w:pPr>
        <w:pStyle w:val="Titre1"/>
        <w:widowControl w:val="false"/>
        <w:rPr>
          <w:rFonts w:ascii="Arial" w:hAnsi="Arial" w:cs="Arial"/>
        </w:rPr>
      </w:pPr>
      <w:r>
        <w:rPr>
          <w:rFonts w:cs="Arial" w:ascii="Arial" w:hAnsi="Arial"/>
          <w:b/>
          <w:bCs/>
          <w:smallCaps/>
          <w:sz w:val="18"/>
          <w:szCs w:val="18"/>
        </w:rPr>
        <w:t>CONTACTS RESSOURCES HUMAINES (NOM, PRÉNOM, FONCTION, TÉLÉPHONE, ADRESSE ÉLECTRONIQUE)</w:t>
      </w:r>
    </w:p>
    <w:tbl>
      <w:tblPr>
        <w:tblpPr w:bottomFromText="0" w:horzAnchor="margin" w:leftFromText="141" w:rightFromText="141" w:tblpX="0" w:tblpY="627" w:topFromText="0" w:vertAnchor="text"/>
        <w:tblW w:w="10714"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714"/>
      </w:tblGrid>
      <w:tr>
        <w:trPr/>
        <w:tc>
          <w:tcPr>
            <w:tcW w:w="10714" w:type="dxa"/>
            <w:tcBorders>
              <w:top w:val="single" w:sz="4" w:space="0" w:color="C0C0C0"/>
              <w:left w:val="single" w:sz="4" w:space="0" w:color="999999"/>
              <w:bottom w:val="single" w:sz="4" w:space="0" w:color="999999"/>
              <w:right w:val="single" w:sz="4" w:space="0" w:color="999999"/>
            </w:tcBorders>
            <w:shd w:color="auto" w:fill="D9D9D9" w:val="clear"/>
            <w:vAlign w:val="bottom"/>
          </w:tcPr>
          <w:p>
            <w:pPr>
              <w:pStyle w:val="Titre2"/>
              <w:widowControl w:val="false"/>
              <w:numPr>
                <w:ilvl w:val="0"/>
                <w:numId w:val="4"/>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p>
            <w:pPr>
              <w:pStyle w:val="Normal"/>
              <w:widowControl w:val="false"/>
              <w:rPr>
                <w:rFonts w:ascii="Arial" w:hAnsi="Arial" w:cs="Arial"/>
                <w:sz w:val="20"/>
                <w:szCs w:val="20"/>
              </w:rPr>
            </w:pPr>
            <w:r>
              <w:rPr>
                <w:rFonts w:cs="Arial" w:ascii="Arial" w:hAnsi="Arial"/>
                <w:sz w:val="20"/>
                <w:szCs w:val="20"/>
              </w:rPr>
            </w:r>
          </w:p>
        </w:tc>
      </w:tr>
      <w:tr>
        <w:trPr/>
        <w:tc>
          <w:tcPr>
            <w:tcW w:w="10714" w:type="dxa"/>
            <w:tcBorders>
              <w:left w:val="single" w:sz="4" w:space="0" w:color="999999"/>
              <w:bottom w:val="single" w:sz="4" w:space="0" w:color="999999"/>
              <w:right w:val="single" w:sz="4" w:space="0" w:color="999999"/>
            </w:tcBorders>
            <w:shd w:color="auto" w:fill="D9D9D9" w:val="clear"/>
            <w:vAlign w:val="bottom"/>
          </w:tcPr>
          <w:p>
            <w:pPr>
              <w:pStyle w:val="Normal"/>
              <w:widowControl w:val="false"/>
              <w:numPr>
                <w:ilvl w:val="0"/>
                <w:numId w:val="4"/>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r>
    </w:tbl>
    <w:p>
      <w:pPr>
        <w:pStyle w:val="Normal"/>
        <w:rPr>
          <w:rFonts w:ascii="Arial" w:hAnsi="Arial" w:cs="Arial"/>
          <w:b/>
          <w:b/>
          <w:bCs/>
          <w:smallCaps/>
          <w:sz w:val="18"/>
          <w:szCs w:val="18"/>
        </w:rPr>
      </w:pPr>
      <w:r>
        <w:rPr>
          <w:rFonts w:cs="Arial" w:ascii="Arial" w:hAnsi="Arial"/>
          <w:b/>
          <w:bCs/>
          <w:smallCaps/>
          <w:sz w:val="18"/>
          <w:szCs w:val="18"/>
        </w:rPr>
      </w:r>
    </w:p>
    <w:p>
      <w:pPr>
        <w:pStyle w:val="Normal"/>
        <w:rPr>
          <w:rFonts w:ascii="Arial" w:hAnsi="Arial" w:cs="Arial"/>
          <w:b/>
          <w:b/>
          <w:bCs/>
          <w:smallCaps/>
          <w:sz w:val="18"/>
          <w:szCs w:val="18"/>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 w:name="Arial">
    <w:charset w:val="01"/>
    <w:family w:val="swiss"/>
    <w:pitch w:val="variable"/>
  </w:font>
  <w:font w:name="Marianne">
    <w:charset w:val="01"/>
    <w:family w:val="moder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6"/>
      <w:numFmt w:val="bullet"/>
      <w:lvlText w:val="-"/>
      <w:lvlJc w:val="left"/>
      <w:pPr>
        <w:tabs>
          <w:tab w:val="num" w:pos="0"/>
        </w:tabs>
        <w:ind w:left="1440" w:hanging="360"/>
      </w:pPr>
      <w:rPr>
        <w:rFonts w:ascii="Marianne" w:hAnsi="Marianne" w:cs="Marianne"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start w:val="6"/>
      <w:numFmt w:val="bullet"/>
      <w:lvlText w:val="-"/>
      <w:lvlJc w:val="left"/>
      <w:pPr>
        <w:tabs>
          <w:tab w:val="num" w:pos="0"/>
        </w:tabs>
        <w:ind w:left="1080" w:hanging="360"/>
      </w:pPr>
      <w:rPr>
        <w:rFonts w:ascii="Marianne" w:hAnsi="Marianne" w:cs="Marianne"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Textenonproportionnel">
    <w:name w:val="Texte non proportionnel"/>
    <w:qFormat/>
    <w:rPr>
      <w:rFonts w:ascii="Liberation Mono" w:hAnsi="Liberation Mono" w:eastAsia="Liberation Mono" w:cs="Liberation Mono"/>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5363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B6F7-2A4B-4005-A91F-06253619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3</Pages>
  <Words>1177</Words>
  <Characters>6339</Characters>
  <CharactersWithSpaces>7435</CharactersWithSpaces>
  <Paragraphs>85</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2023-12-11T15:00:33Z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